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bookmarkStart w:id="0" w:name="_Hlk192668623"/>
      <w:bookmarkStart w:id="1" w:name="_Hlk191994501"/>
      <w:bookmarkEnd w:id="1"/>
      <w:r w:rsidRPr="00D33B5C">
        <w:rPr>
          <w:rFonts w:ascii="Times New Roman" w:hAnsi="Times New Roman" w:cs="Times New Roman"/>
          <w:b/>
        </w:rPr>
        <w:t>ПОЛОЖЕНИЕ</w:t>
      </w: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D33B5C">
        <w:rPr>
          <w:rFonts w:ascii="Times New Roman" w:hAnsi="Times New Roman" w:cs="Times New Roman"/>
          <w:b/>
        </w:rPr>
        <w:t xml:space="preserve">О ПРОВЕДЕНИИ </w:t>
      </w:r>
      <w:r w:rsidRPr="00D33B5C">
        <w:rPr>
          <w:rFonts w:ascii="Times New Roman" w:hAnsi="Times New Roman" w:cs="Times New Roman"/>
          <w:b/>
          <w:bCs/>
        </w:rPr>
        <w:t>МОЛОДЕЖНОГО КОНКУРСА ВЫСТАВОЧНЫХ ПРОЕКТОВ «МУЗГЕО»</w:t>
      </w:r>
    </w:p>
    <w:bookmarkEnd w:id="0"/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D33B5C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D4D677D" wp14:editId="7D880D49">
            <wp:extent cx="990600" cy="9906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I. ОБЩИЕ ПОЛОЖЕНИЯ</w:t>
      </w: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 Настоящее Положение определяет порядок организации и проведения Молодежного конкурса выставочных проектов «</w:t>
      </w:r>
      <w:proofErr w:type="spellStart"/>
      <w:r w:rsidRPr="00D33B5C">
        <w:rPr>
          <w:rFonts w:ascii="Times New Roman" w:hAnsi="Times New Roman" w:cs="Times New Roman"/>
        </w:rPr>
        <w:t>Музгео</w:t>
      </w:r>
      <w:proofErr w:type="spellEnd"/>
      <w:r w:rsidRPr="00D33B5C">
        <w:rPr>
          <w:rFonts w:ascii="Times New Roman" w:hAnsi="Times New Roman" w:cs="Times New Roman"/>
        </w:rPr>
        <w:t xml:space="preserve">» (далее – конкурс), его организационно-методическое обеспечение, условия участия, порядок проведения и определения победителей.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1.2. Организатор конкурса – бюджетное учреждение Ханты-Мансийского автономного округа – Югры «Музей геологии, нефти и газа» (далее – организатор).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1.3. Молодежный конкурс направлен на выявление и развитие компетенций в создании концепции музейного выставочного проекта.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1.4. Конкурс проводится в период с 10 марта по 20 октября 2025 года. Порядок проведения конкурса указан в разделе IV настоящего Положения.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1.5. Вся информация о конкурсе размещена на официальном </w:t>
      </w:r>
      <w:proofErr w:type="spellStart"/>
      <w:r w:rsidR="00D33B5C" w:rsidRPr="00D33B5C">
        <w:rPr>
          <w:rFonts w:ascii="Times New Roman" w:hAnsi="Times New Roman" w:cs="Times New Roman"/>
        </w:rPr>
        <w:t>Telegram</w:t>
      </w:r>
      <w:proofErr w:type="spellEnd"/>
      <w:r w:rsidR="00D33B5C" w:rsidRPr="00D33B5C">
        <w:rPr>
          <w:rFonts w:ascii="Times New Roman" w:hAnsi="Times New Roman" w:cs="Times New Roman"/>
        </w:rPr>
        <w:t>-канал</w:t>
      </w:r>
      <w:r w:rsidR="00D33B5C" w:rsidRPr="00D33B5C">
        <w:rPr>
          <w:rFonts w:ascii="Times New Roman" w:hAnsi="Times New Roman" w:cs="Times New Roman"/>
        </w:rPr>
        <w:t>е</w:t>
      </w:r>
      <w:r w:rsidRPr="00D33B5C">
        <w:rPr>
          <w:rFonts w:ascii="Times New Roman" w:hAnsi="Times New Roman" w:cs="Times New Roman"/>
        </w:rPr>
        <w:t xml:space="preserve"> </w:t>
      </w:r>
      <w:bookmarkStart w:id="2" w:name="_Hlk192668371"/>
      <w:r w:rsidRPr="00D33B5C">
        <w:rPr>
          <w:rFonts w:ascii="Times New Roman" w:hAnsi="Times New Roman" w:cs="Times New Roman"/>
          <w:b/>
        </w:rPr>
        <w:t>https://t.me/musgeo</w:t>
      </w:r>
      <w:bookmarkEnd w:id="2"/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II. ЦЕЛИ И ЗАДАЧИ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2.1. Конкурс проводится с целью стимулирования творческого подхода, разработки инновационных и креативных идей в области музейного экспонирования, а также содействия в профессиональной ориентации.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2.2. Организация и проведение конкурса способствуют решению следующих задач: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– популяризации и пропаганде научных знаний;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– созданию условий для развития интеллектуальной, исследовательской и креативной деятельности молодёжи;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– выявлению талантливой и одарённой молодёжи;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– публичному представлению музейных предметов и коллекций Музея геологии, нефти и газа.</w:t>
      </w: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III. УСЛОВИЯ УЧАСТИЯ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3.1. К участию в конкурсе приглашаются школьники (9-11 классы), студенты СПО и вузов, молодые специалисты в возрасте до 35 лет.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3.2. Участники могут представлять проекты как индивидуально, так и в командах до 3 человек.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3.3. Подав заявку на участие в конкурсе, участник даёт своё добровольное согласие на обработку организатором персональных данных, указанных в форме регистрации, а также иных персональных данных, направляемых участником организатору в рамках конкурса, в том числе на совершение организатором действий, предусмотренных п. 3 ст. 3 Федерального закона от 27.07.2006 года N 152-ФЗ «О персональных данных», любыми способами. Данное согласие действует в течение 3 (трёх) лет. Участники дают добровольное согласие на публикацию их имени и фамилии на сайте и страницах в социальных сетях организатора конкурса. </w:t>
      </w:r>
    </w:p>
    <w:p w:rsidR="00D33B5C" w:rsidRP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3.4. Участие в конкурсе бесплатное.</w:t>
      </w:r>
    </w:p>
    <w:p w:rsid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lastRenderedPageBreak/>
        <w:t>IV. СРОКИ И ПОРЯДОК ПРОВЕДЕНИЯ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4.1 Конкурс проводится в несколько этапов.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4.1.1. </w:t>
      </w:r>
      <w:r w:rsidRPr="00D33B5C">
        <w:rPr>
          <w:rFonts w:ascii="Times New Roman" w:hAnsi="Times New Roman" w:cs="Times New Roman"/>
          <w:b/>
        </w:rPr>
        <w:t>Первый этап.</w:t>
      </w:r>
      <w:r w:rsidRPr="00D33B5C">
        <w:rPr>
          <w:rFonts w:ascii="Times New Roman" w:hAnsi="Times New Roman" w:cs="Times New Roman"/>
        </w:rPr>
        <w:t xml:space="preserve"> Представление идеи. Участники регистрируются на конкурс и предоставляют аннотацию концепции через электронную форму.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4.1.2. Аннотация концепции предоставляется в виде краткого описания.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4.1.3. Прием аннотаций концепций участников конкурса – </w:t>
      </w:r>
      <w:r w:rsidRPr="00D33B5C">
        <w:rPr>
          <w:rFonts w:ascii="Times New Roman" w:hAnsi="Times New Roman" w:cs="Times New Roman"/>
          <w:b/>
        </w:rPr>
        <w:t>до 30 апреля 2025 года.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</w:rPr>
        <w:t xml:space="preserve">4.1.4. Эксперты оценивают аннотации концепций и составляют список участников, прошедших во второй этап конкурса – </w:t>
      </w:r>
      <w:r w:rsidRPr="00D33B5C">
        <w:rPr>
          <w:rFonts w:ascii="Times New Roman" w:hAnsi="Times New Roman" w:cs="Times New Roman"/>
          <w:b/>
        </w:rPr>
        <w:t xml:space="preserve">до 30 мая 2025 года.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4.2. </w:t>
      </w:r>
      <w:r w:rsidRPr="00D33B5C">
        <w:rPr>
          <w:rFonts w:ascii="Times New Roman" w:hAnsi="Times New Roman" w:cs="Times New Roman"/>
          <w:b/>
        </w:rPr>
        <w:t>Второй этап.</w:t>
      </w:r>
      <w:r w:rsidRPr="00D33B5C">
        <w:rPr>
          <w:rFonts w:ascii="Times New Roman" w:hAnsi="Times New Roman" w:cs="Times New Roman"/>
        </w:rPr>
        <w:t xml:space="preserve"> Доработка концепций.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4.2.1. Аннотации концепций участников, прошедших во второй этап, обсуждаются и дорабатываться с кураторами музея и формируются в концепции выставочных проектов.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4.2.2. Кураторами выступают сотрудники Музея геологии, нефти и газа.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</w:rPr>
        <w:t xml:space="preserve">4.2.3. Концепции выставочных проектов дорабатываются в период </w:t>
      </w:r>
      <w:r w:rsidRPr="00D33B5C">
        <w:rPr>
          <w:rFonts w:ascii="Times New Roman" w:hAnsi="Times New Roman" w:cs="Times New Roman"/>
          <w:b/>
        </w:rPr>
        <w:t>с 01 августа до 01 октября 2025 года.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4.3. </w:t>
      </w:r>
      <w:r w:rsidRPr="00D33B5C">
        <w:rPr>
          <w:rFonts w:ascii="Times New Roman" w:hAnsi="Times New Roman" w:cs="Times New Roman"/>
          <w:b/>
        </w:rPr>
        <w:t>Третий этап.</w:t>
      </w:r>
      <w:r w:rsidRPr="00D33B5C">
        <w:rPr>
          <w:rFonts w:ascii="Times New Roman" w:hAnsi="Times New Roman" w:cs="Times New Roman"/>
        </w:rPr>
        <w:t xml:space="preserve"> Презентация проектов.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4.3.1. Доработанные выставочные проекты презентуются перед экспертами конкурса.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4.3.2. Презентации будут проходить в дистанционном формате. Презентация должна быть подготовлена в формате MS </w:t>
      </w:r>
      <w:proofErr w:type="spellStart"/>
      <w:r w:rsidRPr="00D33B5C">
        <w:rPr>
          <w:rFonts w:ascii="Times New Roman" w:hAnsi="Times New Roman" w:cs="Times New Roman"/>
        </w:rPr>
        <w:t>Power</w:t>
      </w:r>
      <w:proofErr w:type="spellEnd"/>
      <w:r w:rsidRPr="00D33B5C">
        <w:rPr>
          <w:rFonts w:ascii="Times New Roman" w:hAnsi="Times New Roman" w:cs="Times New Roman"/>
        </w:rPr>
        <w:t xml:space="preserve"> </w:t>
      </w:r>
      <w:proofErr w:type="spellStart"/>
      <w:r w:rsidRPr="00D33B5C">
        <w:rPr>
          <w:rFonts w:ascii="Times New Roman" w:hAnsi="Times New Roman" w:cs="Times New Roman"/>
        </w:rPr>
        <w:t>Point</w:t>
      </w:r>
      <w:proofErr w:type="spellEnd"/>
      <w:r w:rsidRPr="00D33B5C">
        <w:rPr>
          <w:rFonts w:ascii="Times New Roman" w:hAnsi="Times New Roman" w:cs="Times New Roman"/>
        </w:rPr>
        <w:t xml:space="preserve"> или аналогичном. Презентация проекта участником не должна превышать 10 минут.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4.3.3. Эксперты оценивают работы участников по критериям, указанным в разделе «VI. Критерии оценки».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4.3.4. Онлайн-презентации состоятся в период </w:t>
      </w:r>
      <w:r w:rsidRPr="00D33B5C">
        <w:rPr>
          <w:rFonts w:ascii="Times New Roman" w:hAnsi="Times New Roman" w:cs="Times New Roman"/>
          <w:b/>
        </w:rPr>
        <w:t>с 02 по 15 октября 2025 года</w:t>
      </w:r>
      <w:r w:rsidRPr="00D33B5C">
        <w:rPr>
          <w:rFonts w:ascii="Times New Roman" w:hAnsi="Times New Roman" w:cs="Times New Roman"/>
        </w:rPr>
        <w:t>, точное время будет сообщено участникам дополнительно.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4.3.5. Объявление результатов состоится в срок </w:t>
      </w:r>
      <w:r w:rsidRPr="00D33B5C">
        <w:rPr>
          <w:rFonts w:ascii="Times New Roman" w:hAnsi="Times New Roman" w:cs="Times New Roman"/>
          <w:b/>
        </w:rPr>
        <w:t>до 17 октября 2025 года</w:t>
      </w:r>
      <w:r w:rsidRPr="00D33B5C">
        <w:rPr>
          <w:rFonts w:ascii="Times New Roman" w:hAnsi="Times New Roman" w:cs="Times New Roman"/>
        </w:rPr>
        <w:t>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V. ОРГКОМИТЕТ И ЭКСПЕРТЫ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5.1. Непосредственное руководство проведением конкурса осуществляет оргкомитет, формируемый организатором.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5.2. Оргкомитет осуществляет следующие функции: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обеспечивает разработку конкурсного задания и критерии его оценки;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обеспечивает планирование и контроль процесса подготовки и проведения конкурса;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назначает кураторов;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формирует состав экспертов конкурса и обеспечивает их работу;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решает иные организационные вопросы.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5.3. Для проверки и оценки работ участников конкурса приглашаются эксперты.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5.4. В число экспертов входят представители музейного дела, научного сообщества, представители общественных организаций и креативных индустрий.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lastRenderedPageBreak/>
        <w:t>5.5. Эксперты осуществляют следующие функции: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– контроль и подведение итогов;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– экспертная оценка проектов;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– определение победителей и призёров конкурса.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5.6. Деятельность эксперта основывается на принципах независимости мнения, профессионализма и компетентности оценки, непредвзятости заключений.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VI. КРИТЕРИИ ОЦЕНКИ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6.1. Критерии оценки конкурсных работ: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6.1.1. Соответствие техническому заданию (см. Приложение «Техническое задание»)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6.1.2. Оригинальность идеи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6.1.3. Научная целесообразность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6.1.4. Эстетическая привлекательность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6.1.5. Практическая реализуемость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6.1.6. Инновация и креативность идеи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6.2. По каждому критерию концепция участника конкурса может получить от 1 до 10 баллов.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VII. НАГРАЖДЕНИЕ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7.1. Победители конкурса получают дипломы 1, 2, 3 степени.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7.2. Победитель конкурса, занявший 1 место, получает право реализовать конкурсную идею выставки в экспозиционном зале Музея геологии, нефти и газа в 2026 году.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7.3. Все участники получают сертификаты участников.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7.4.  Дополнительные призы могут быть предоставлены партнерами конкурса.</w:t>
      </w:r>
    </w:p>
    <w:p w:rsidR="00D33B5C" w:rsidRP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VIII</w:t>
      </w:r>
      <w:r w:rsidRPr="00D33B5C">
        <w:rPr>
          <w:rFonts w:ascii="Times New Roman" w:hAnsi="Times New Roman" w:cs="Times New Roman"/>
        </w:rPr>
        <w:t xml:space="preserve">. </w:t>
      </w:r>
      <w:r w:rsidRPr="00D33B5C">
        <w:rPr>
          <w:rFonts w:ascii="Times New Roman" w:hAnsi="Times New Roman" w:cs="Times New Roman"/>
          <w:b/>
        </w:rPr>
        <w:t>ЗАКЛЮЧИТЕЛЬНЫЕ ПОЛОЖЕНИЯ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8.1. Участие в конкурсе подразумевает согласие с условиями и правилами, изложенными в данном положении.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8.2. Организаторы оставляют за собой право вносить изменения в положение конкурса, об этом участники будут уведомлены в срок не менее чем за 3 дня.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8.3. Участники могут обращаться с вопросами по следующим контактам: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3" w:name="_Hlk191909121"/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+7(3467)333272</w:t>
      </w:r>
      <w:bookmarkEnd w:id="3"/>
      <w:r w:rsidRPr="00D33B5C">
        <w:rPr>
          <w:rFonts w:ascii="Times New Roman" w:hAnsi="Times New Roman" w:cs="Times New Roman"/>
        </w:rPr>
        <w:t xml:space="preserve"> (161)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+7(3467)333272 (162)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D33B5C">
        <w:rPr>
          <w:rFonts w:ascii="Times New Roman" w:hAnsi="Times New Roman" w:cs="Times New Roman"/>
          <w:bCs/>
          <w:lang w:val="en-US"/>
        </w:rPr>
        <w:t>e</w:t>
      </w:r>
      <w:r w:rsidRPr="00D33B5C">
        <w:rPr>
          <w:rFonts w:ascii="Times New Roman" w:hAnsi="Times New Roman" w:cs="Times New Roman"/>
          <w:bCs/>
        </w:rPr>
        <w:t>-</w:t>
      </w:r>
      <w:r w:rsidRPr="00D33B5C">
        <w:rPr>
          <w:rFonts w:ascii="Times New Roman" w:hAnsi="Times New Roman" w:cs="Times New Roman"/>
          <w:bCs/>
          <w:lang w:val="en-US"/>
        </w:rPr>
        <w:t>mail</w:t>
      </w:r>
      <w:r w:rsidRPr="00D33B5C">
        <w:rPr>
          <w:rFonts w:ascii="Times New Roman" w:hAnsi="Times New Roman" w:cs="Times New Roman"/>
          <w:bCs/>
        </w:rPr>
        <w:t xml:space="preserve"> конкурса: </w:t>
      </w:r>
      <w:bookmarkStart w:id="4" w:name="_Hlk191993733"/>
      <w:proofErr w:type="spellStart"/>
      <w:r w:rsidRPr="00D33B5C">
        <w:rPr>
          <w:rFonts w:ascii="Times New Roman" w:hAnsi="Times New Roman" w:cs="Times New Roman"/>
          <w:bCs/>
          <w:lang w:val="en-US"/>
        </w:rPr>
        <w:t>konkurs</w:t>
      </w:r>
      <w:proofErr w:type="spellEnd"/>
      <w:r w:rsidRPr="00D33B5C">
        <w:rPr>
          <w:rFonts w:ascii="Times New Roman" w:hAnsi="Times New Roman" w:cs="Times New Roman"/>
          <w:bCs/>
        </w:rPr>
        <w:t>@</w:t>
      </w:r>
      <w:proofErr w:type="spellStart"/>
      <w:r w:rsidRPr="00D33B5C">
        <w:rPr>
          <w:rFonts w:ascii="Times New Roman" w:hAnsi="Times New Roman" w:cs="Times New Roman"/>
          <w:bCs/>
          <w:lang w:val="en-US"/>
        </w:rPr>
        <w:t>muzgeo</w:t>
      </w:r>
      <w:proofErr w:type="spellEnd"/>
      <w:r w:rsidRPr="00D33B5C">
        <w:rPr>
          <w:rFonts w:ascii="Times New Roman" w:hAnsi="Times New Roman" w:cs="Times New Roman"/>
          <w:bCs/>
        </w:rPr>
        <w:t>.</w:t>
      </w:r>
      <w:proofErr w:type="spellStart"/>
      <w:r w:rsidRPr="00D33B5C">
        <w:rPr>
          <w:rFonts w:ascii="Times New Roman" w:hAnsi="Times New Roman" w:cs="Times New Roman"/>
          <w:bCs/>
          <w:lang w:val="en-US"/>
        </w:rPr>
        <w:t>ru</w:t>
      </w:r>
      <w:bookmarkEnd w:id="4"/>
      <w:proofErr w:type="spellEnd"/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D33B5C" w:rsidRPr="00D33B5C" w:rsidRDefault="00D33B5C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lastRenderedPageBreak/>
        <w:t>Приложения</w:t>
      </w: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 xml:space="preserve">к Положению о проведении </w:t>
      </w: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Молодежного конкурса выставочных проектов «</w:t>
      </w:r>
      <w:proofErr w:type="spellStart"/>
      <w:r w:rsidRPr="00D33B5C">
        <w:rPr>
          <w:rFonts w:ascii="Times New Roman" w:hAnsi="Times New Roman" w:cs="Times New Roman"/>
          <w:b/>
        </w:rPr>
        <w:t>Музгео</w:t>
      </w:r>
      <w:proofErr w:type="spellEnd"/>
      <w:r w:rsidRPr="00D33B5C">
        <w:rPr>
          <w:rFonts w:ascii="Times New Roman" w:hAnsi="Times New Roman" w:cs="Times New Roman"/>
          <w:b/>
        </w:rPr>
        <w:t>»</w:t>
      </w: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bookmarkStart w:id="5" w:name="_Hlk191909362"/>
      <w:r w:rsidRPr="00D33B5C">
        <w:rPr>
          <w:rFonts w:ascii="Times New Roman" w:hAnsi="Times New Roman" w:cs="Times New Roman"/>
          <w:b/>
        </w:rPr>
        <w:t>Приложение 1.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Техническое задание для участников конкурса «</w:t>
      </w:r>
      <w:proofErr w:type="spellStart"/>
      <w:r w:rsidRPr="00D33B5C">
        <w:rPr>
          <w:rFonts w:ascii="Times New Roman" w:hAnsi="Times New Roman" w:cs="Times New Roman"/>
          <w:b/>
        </w:rPr>
        <w:t>Музгео</w:t>
      </w:r>
      <w:proofErr w:type="spellEnd"/>
      <w:r w:rsidRPr="00D33B5C">
        <w:rPr>
          <w:rFonts w:ascii="Times New Roman" w:hAnsi="Times New Roman" w:cs="Times New Roman"/>
          <w:b/>
        </w:rPr>
        <w:t>»</w:t>
      </w:r>
    </w:p>
    <w:bookmarkEnd w:id="5"/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1. Общие сведения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</w:t>
      </w:r>
      <w:r w:rsidRPr="00D33B5C">
        <w:rPr>
          <w:rFonts w:ascii="Times New Roman" w:hAnsi="Times New Roman" w:cs="Times New Roman"/>
        </w:rPr>
        <w:tab/>
        <w:t>Участникам конкурса необходимо разработать аннотацию концепции выставочного проекта.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1.2.</w:t>
      </w:r>
      <w:r w:rsidRPr="00D33B5C">
        <w:rPr>
          <w:rFonts w:ascii="Times New Roman" w:hAnsi="Times New Roman" w:cs="Times New Roman"/>
        </w:rPr>
        <w:tab/>
        <w:t>Участники должны предложить креативный подход к подаче материала, который будет интересен широкой аудитории.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1.3. В аннотации концепции должны быть использованы экспонаты из электронного каталога Музея геологии, нефти и газа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1.4. Электронный каталог музея размещен по ссылке: </w:t>
      </w:r>
      <w:hyperlink r:id="rId9" w:history="1">
        <w:r w:rsidRPr="00D33B5C">
          <w:rPr>
            <w:rStyle w:val="ad"/>
            <w:rFonts w:ascii="Times New Roman" w:hAnsi="Times New Roman" w:cs="Times New Roman"/>
          </w:rPr>
          <w:t>http://catalog.muzgeo.ru/</w:t>
        </w:r>
      </w:hyperlink>
      <w:r w:rsidRPr="00D33B5C">
        <w:rPr>
          <w:rFonts w:ascii="Times New Roman" w:hAnsi="Times New Roman" w:cs="Times New Roman"/>
        </w:rPr>
        <w:t xml:space="preserve">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2. Требования к проекту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 w:rsidRPr="00D33B5C">
        <w:rPr>
          <w:rFonts w:ascii="Times New Roman" w:hAnsi="Times New Roman" w:cs="Times New Roman"/>
        </w:rPr>
        <w:t xml:space="preserve">2.1. Площадь выставочного зала выставки составляет 50 </w:t>
      </w:r>
      <w:proofErr w:type="spellStart"/>
      <w:r w:rsidRPr="00D33B5C">
        <w:rPr>
          <w:rFonts w:ascii="Times New Roman" w:hAnsi="Times New Roman" w:cs="Times New Roman"/>
        </w:rPr>
        <w:t>кв.м</w:t>
      </w:r>
      <w:proofErr w:type="spellEnd"/>
      <w:r w:rsidRPr="00D33B5C">
        <w:rPr>
          <w:rFonts w:ascii="Times New Roman" w:hAnsi="Times New Roman" w:cs="Times New Roman"/>
        </w:rPr>
        <w:t xml:space="preserve">. </w:t>
      </w:r>
      <w:bookmarkStart w:id="6" w:name="_Hlk191909319"/>
      <w:r w:rsidRPr="00D33B5C">
        <w:rPr>
          <w:rFonts w:ascii="Times New Roman" w:hAnsi="Times New Roman" w:cs="Times New Roman"/>
          <w:b/>
          <w:i/>
        </w:rPr>
        <w:t>План и фотографии зала</w:t>
      </w:r>
      <w:bookmarkEnd w:id="6"/>
      <w:r w:rsidRPr="00D33B5C">
        <w:rPr>
          <w:rFonts w:ascii="Times New Roman" w:hAnsi="Times New Roman" w:cs="Times New Roman"/>
          <w:b/>
          <w:i/>
        </w:rPr>
        <w:t xml:space="preserve"> см. в приложении 3.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2.2. Участники должны оптимально использовать предоставленное пространство, учитывать возможности размещения экспонатов, выставочного и мультимедийного оборудования и маршруты посетителей.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2.3. Проект должен включать не менее 5 разных экспонатов из электронного каталога музея </w:t>
      </w:r>
      <w:hyperlink r:id="rId10" w:history="1">
        <w:r w:rsidRPr="00D33B5C">
          <w:rPr>
            <w:rStyle w:val="ad"/>
            <w:rFonts w:ascii="Times New Roman" w:hAnsi="Times New Roman" w:cs="Times New Roman"/>
          </w:rPr>
          <w:t>http://catalog.muzgeo.ru/</w:t>
        </w:r>
      </w:hyperlink>
      <w:r w:rsidRPr="00D33B5C">
        <w:rPr>
          <w:rFonts w:ascii="Times New Roman" w:hAnsi="Times New Roman" w:cs="Times New Roman"/>
        </w:rPr>
        <w:t xml:space="preserve">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2.4. Необходимо указать, какие именно экспонаты планируется использовать, и обосновать их выбор в контексте выставки.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2.5. Оборудование, которое можно использовать в концепции: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витрина 600х600 мм, высота 1700 мм, высота стекла витрины 600 мм – до 5 шт.;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витрина 600х600 мм, высота 1300 мм, высота стекла витрины 300 мм – до 3 шт.;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витрина 600х1490 мм, высота 1100 мм, высота стекла витрины 350 мм – до 3 шт.;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мультимедийный экран 2090 х 2650 мм, диагональ 78 дюймов – до 2 шт. (стационарные, «вшиты» в стену).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2.6. Использование другого оборудования возможно с указанием в концепции размеров, материалов необходимого оборудования.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2.7. Концепция выставки должна соответствовать определенной тематике </w:t>
      </w:r>
      <w:r w:rsidRPr="00D33B5C">
        <w:rPr>
          <w:rFonts w:ascii="Times New Roman" w:hAnsi="Times New Roman" w:cs="Times New Roman"/>
          <w:b/>
          <w:i/>
        </w:rPr>
        <w:t>(см. приложение 2 «Тематика»)</w:t>
      </w:r>
      <w:r w:rsidRPr="00D33B5C">
        <w:rPr>
          <w:rFonts w:ascii="Times New Roman" w:hAnsi="Times New Roman" w:cs="Times New Roman"/>
        </w:rPr>
        <w:t>. Возможна комбинация нескольких тем.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2.8. Дизайн и оформление. Необходимо предоставить визуализацию дизайна выставки в виде референсов (до 5).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2.9. Интерактивные элементы. Предоставить идеи для интерактивных элементов, которые будут вовлекать посетителей в процесс изучения выставки (например, мультимедийные экраны, сенсорный киоск, механические модели для взаимодействия, VR/AR элементы, чат-бот, тактильные экспонаты и пр.).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3.1. Документация </w:t>
      </w:r>
      <w:r w:rsidRPr="00D33B5C">
        <w:rPr>
          <w:rFonts w:ascii="Times New Roman" w:hAnsi="Times New Roman" w:cs="Times New Roman"/>
          <w:b/>
        </w:rPr>
        <w:t xml:space="preserve">первого этапа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3.1.1 Для первого этапа участники должны подготовить документацию, включающую: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 w:rsidRPr="00D33B5C">
        <w:rPr>
          <w:rFonts w:ascii="Times New Roman" w:hAnsi="Times New Roman" w:cs="Times New Roman"/>
        </w:rPr>
        <w:t xml:space="preserve">- аннотацию концептуального описания выставки (до 5 страниц А4, одинарный интервал, 12 размер шрифта). </w:t>
      </w:r>
      <w:r w:rsidRPr="00D33B5C">
        <w:rPr>
          <w:rFonts w:ascii="Times New Roman" w:hAnsi="Times New Roman" w:cs="Times New Roman"/>
          <w:b/>
          <w:i/>
        </w:rPr>
        <w:t>Примерный шаблон аннотации концепции см. в приложении 4;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визуальные материалы, референсы (до 5, в качестве приложения к аннотации).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7" w:name="_Hlk191993907"/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3.1.2. Аннотация концептуального описания выставки (в том числе и заявка на участие в конкурсе) заполняется в специальной форме. Ссылка на форму: </w:t>
      </w:r>
      <w:hyperlink r:id="rId11" w:history="1">
        <w:r w:rsidRPr="00D33B5C">
          <w:rPr>
            <w:rStyle w:val="ad"/>
            <w:rFonts w:ascii="Times New Roman" w:hAnsi="Times New Roman" w:cs="Times New Roman"/>
          </w:rPr>
          <w:t>https://forms.gle/GQN236it8R69cu2Z7</w:t>
        </w:r>
      </w:hyperlink>
      <w:r w:rsidRPr="00D33B5C">
        <w:rPr>
          <w:rFonts w:ascii="Times New Roman" w:hAnsi="Times New Roman" w:cs="Times New Roman"/>
        </w:rPr>
        <w:t xml:space="preserve"> </w:t>
      </w:r>
      <w:bookmarkStart w:id="8" w:name="_Hlk192001650"/>
      <w:r w:rsidRPr="00D33B5C">
        <w:rPr>
          <w:rFonts w:ascii="Times New Roman" w:hAnsi="Times New Roman" w:cs="Times New Roman"/>
        </w:rPr>
        <w:t>(Внимание! Если вы допустили ошибку при регистрации, либо при внесении информации и данных в поля, у вас есть возможность перезаполнить электронную форму. Организаторы будут учитывать последнюю по времени загрузку формы).</w:t>
      </w:r>
      <w:bookmarkEnd w:id="8"/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3.1.3. Визуальные материалы оформляются в едином файле формата </w:t>
      </w:r>
      <w:proofErr w:type="spellStart"/>
      <w:r w:rsidRPr="00D33B5C">
        <w:rPr>
          <w:rFonts w:ascii="Times New Roman" w:hAnsi="Times New Roman" w:cs="Times New Roman"/>
        </w:rPr>
        <w:t>pdf</w:t>
      </w:r>
      <w:proofErr w:type="spellEnd"/>
      <w:r w:rsidRPr="00D33B5C">
        <w:rPr>
          <w:rFonts w:ascii="Times New Roman" w:hAnsi="Times New Roman" w:cs="Times New Roman"/>
        </w:rPr>
        <w:t xml:space="preserve"> и направляются на электронную почту </w:t>
      </w:r>
      <w:hyperlink r:id="rId12" w:history="1">
        <w:r w:rsidRPr="00D33B5C">
          <w:rPr>
            <w:rStyle w:val="ad"/>
            <w:rFonts w:ascii="Times New Roman" w:hAnsi="Times New Roman" w:cs="Times New Roman"/>
            <w:b/>
            <w:bCs/>
            <w:lang w:val="en-US"/>
          </w:rPr>
          <w:t>konkurs</w:t>
        </w:r>
        <w:r w:rsidRPr="00D33B5C">
          <w:rPr>
            <w:rStyle w:val="ad"/>
            <w:rFonts w:ascii="Times New Roman" w:hAnsi="Times New Roman" w:cs="Times New Roman"/>
            <w:b/>
            <w:bCs/>
          </w:rPr>
          <w:t>@</w:t>
        </w:r>
        <w:r w:rsidRPr="00D33B5C">
          <w:rPr>
            <w:rStyle w:val="ad"/>
            <w:rFonts w:ascii="Times New Roman" w:hAnsi="Times New Roman" w:cs="Times New Roman"/>
            <w:b/>
            <w:bCs/>
            <w:lang w:val="en-US"/>
          </w:rPr>
          <w:t>muzgeo</w:t>
        </w:r>
        <w:r w:rsidRPr="00D33B5C">
          <w:rPr>
            <w:rStyle w:val="ad"/>
            <w:rFonts w:ascii="Times New Roman" w:hAnsi="Times New Roman" w:cs="Times New Roman"/>
            <w:b/>
            <w:bCs/>
          </w:rPr>
          <w:t>.</w:t>
        </w:r>
        <w:proofErr w:type="spellStart"/>
        <w:r w:rsidRPr="00D33B5C">
          <w:rPr>
            <w:rStyle w:val="ad"/>
            <w:rFonts w:ascii="Times New Roman" w:hAnsi="Times New Roman" w:cs="Times New Roman"/>
            <w:b/>
            <w:bCs/>
            <w:lang w:val="en-US"/>
          </w:rPr>
          <w:t>ru</w:t>
        </w:r>
        <w:proofErr w:type="spellEnd"/>
      </w:hyperlink>
      <w:r w:rsidRPr="00D33B5C">
        <w:rPr>
          <w:rFonts w:ascii="Times New Roman" w:hAnsi="Times New Roman" w:cs="Times New Roman"/>
          <w:bCs/>
        </w:rPr>
        <w:t xml:space="preserve"> с указанием темы письма «</w:t>
      </w:r>
      <w:proofErr w:type="spellStart"/>
      <w:r w:rsidRPr="00D33B5C">
        <w:rPr>
          <w:rFonts w:ascii="Times New Roman" w:hAnsi="Times New Roman" w:cs="Times New Roman"/>
          <w:bCs/>
        </w:rPr>
        <w:t>музгео_фамилия</w:t>
      </w:r>
      <w:proofErr w:type="spellEnd"/>
      <w:r w:rsidRPr="00D33B5C">
        <w:rPr>
          <w:rFonts w:ascii="Times New Roman" w:hAnsi="Times New Roman" w:cs="Times New Roman"/>
          <w:bCs/>
        </w:rPr>
        <w:t xml:space="preserve"> (при командном участии - фамилия одного из участников) первый </w:t>
      </w:r>
      <w:proofErr w:type="spellStart"/>
      <w:r w:rsidRPr="00D33B5C">
        <w:rPr>
          <w:rFonts w:ascii="Times New Roman" w:hAnsi="Times New Roman" w:cs="Times New Roman"/>
          <w:bCs/>
        </w:rPr>
        <w:t>этап_название</w:t>
      </w:r>
      <w:proofErr w:type="spellEnd"/>
      <w:r w:rsidRPr="00D33B5C">
        <w:rPr>
          <w:rFonts w:ascii="Times New Roman" w:hAnsi="Times New Roman" w:cs="Times New Roman"/>
          <w:bCs/>
        </w:rPr>
        <w:t xml:space="preserve"> концепции).</w:t>
      </w:r>
    </w:p>
    <w:bookmarkEnd w:id="7"/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</w:rPr>
        <w:t xml:space="preserve">3.2. Документация </w:t>
      </w:r>
      <w:r w:rsidRPr="00D33B5C">
        <w:rPr>
          <w:rFonts w:ascii="Times New Roman" w:hAnsi="Times New Roman" w:cs="Times New Roman"/>
          <w:b/>
        </w:rPr>
        <w:t>второго этапа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3.2.1</w:t>
      </w:r>
      <w:r w:rsidRPr="00D33B5C">
        <w:rPr>
          <w:rFonts w:ascii="Times New Roman" w:hAnsi="Times New Roman" w:cs="Times New Roman"/>
        </w:rPr>
        <w:tab/>
        <w:t>Участники, допущенные к участию на второй этап конкурса, должны подготовить документацию, включающую: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- концептуальное описание выставки. </w:t>
      </w:r>
      <w:r w:rsidRPr="00D33B5C">
        <w:rPr>
          <w:rFonts w:ascii="Times New Roman" w:hAnsi="Times New Roman" w:cs="Times New Roman"/>
          <w:b/>
          <w:i/>
        </w:rPr>
        <w:t>Шаблон концепции см. в приложении 5</w:t>
      </w:r>
      <w:r w:rsidRPr="00D33B5C">
        <w:rPr>
          <w:rFonts w:ascii="Times New Roman" w:hAnsi="Times New Roman" w:cs="Times New Roman"/>
        </w:rPr>
        <w:t>;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- примерный </w:t>
      </w:r>
      <w:proofErr w:type="spellStart"/>
      <w:r w:rsidRPr="00D33B5C">
        <w:rPr>
          <w:rFonts w:ascii="Times New Roman" w:hAnsi="Times New Roman" w:cs="Times New Roman"/>
        </w:rPr>
        <w:t>экспонатурный</w:t>
      </w:r>
      <w:proofErr w:type="spellEnd"/>
      <w:r w:rsidRPr="00D33B5C">
        <w:rPr>
          <w:rFonts w:ascii="Times New Roman" w:hAnsi="Times New Roman" w:cs="Times New Roman"/>
        </w:rPr>
        <w:t xml:space="preserve"> ряд, включающий экспонаты из каталога музея </w:t>
      </w:r>
      <w:hyperlink r:id="rId13" w:history="1">
        <w:r w:rsidRPr="00D33B5C">
          <w:rPr>
            <w:rStyle w:val="ad"/>
            <w:rFonts w:ascii="Times New Roman" w:hAnsi="Times New Roman" w:cs="Times New Roman"/>
          </w:rPr>
          <w:t>http://catalog.muzgeo.ru/</w:t>
        </w:r>
      </w:hyperlink>
      <w:r w:rsidRPr="00D33B5C">
        <w:rPr>
          <w:rFonts w:ascii="Times New Roman" w:hAnsi="Times New Roman" w:cs="Times New Roman"/>
        </w:rPr>
        <w:t xml:space="preserve">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- визуальные материалы, референсы (планы, эскизы, модели и пр.).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3.2.2. Концепция выставки должна соответствовать тематике, определенной в аннотации, предоставленной на первом этапе конкурса.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3.2.3. Дизайн и оформление. Необходимо предоставить визуализацию дизайна выставки, референсы: схема размещения экспонатов, эскизы выставочных панелей, описание цветовой палитры и материалов, которые планируется использовать.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3.2.4. Концептуальное описание выставки заполняется в специальной форме. Ссылка на форму: </w:t>
      </w:r>
      <w:hyperlink r:id="rId14" w:history="1">
        <w:r w:rsidRPr="00D33B5C">
          <w:rPr>
            <w:rStyle w:val="ad"/>
            <w:rFonts w:ascii="Times New Roman" w:hAnsi="Times New Roman" w:cs="Times New Roman"/>
          </w:rPr>
          <w:t>https://forms.gle/qWxEEkGGVrjWNWuL8</w:t>
        </w:r>
      </w:hyperlink>
      <w:r w:rsidRPr="00D33B5C">
        <w:rPr>
          <w:rFonts w:ascii="Times New Roman" w:hAnsi="Times New Roman" w:cs="Times New Roman"/>
        </w:rPr>
        <w:t xml:space="preserve"> (Внимание! Если вы допустили ошибку при регистрации, либо при внесении информации и данных в поля, у вас есть возможность перезаполнить электронную форму. Организаторы будут учитывать последнюю по времени загрузку формы).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3.2.5. Визуальные материалы оформляются в едином файле формата </w:t>
      </w:r>
      <w:proofErr w:type="spellStart"/>
      <w:r w:rsidRPr="00D33B5C">
        <w:rPr>
          <w:rFonts w:ascii="Times New Roman" w:hAnsi="Times New Roman" w:cs="Times New Roman"/>
        </w:rPr>
        <w:t>pdf</w:t>
      </w:r>
      <w:proofErr w:type="spellEnd"/>
      <w:r w:rsidRPr="00D33B5C">
        <w:rPr>
          <w:rFonts w:ascii="Times New Roman" w:hAnsi="Times New Roman" w:cs="Times New Roman"/>
        </w:rPr>
        <w:t xml:space="preserve"> и направляются на электронную почту </w:t>
      </w:r>
      <w:r w:rsidRPr="00D33B5C">
        <w:rPr>
          <w:rFonts w:ascii="Times New Roman" w:hAnsi="Times New Roman" w:cs="Times New Roman"/>
          <w:b/>
        </w:rPr>
        <w:t>konkurs@muzgeo.ru</w:t>
      </w:r>
      <w:r w:rsidRPr="00D33B5C">
        <w:rPr>
          <w:rFonts w:ascii="Times New Roman" w:hAnsi="Times New Roman" w:cs="Times New Roman"/>
        </w:rPr>
        <w:t xml:space="preserve"> с указанием темы письма «</w:t>
      </w:r>
      <w:proofErr w:type="spellStart"/>
      <w:r w:rsidRPr="00D33B5C">
        <w:rPr>
          <w:rFonts w:ascii="Times New Roman" w:hAnsi="Times New Roman" w:cs="Times New Roman"/>
        </w:rPr>
        <w:t>музгео_фамилия</w:t>
      </w:r>
      <w:proofErr w:type="spellEnd"/>
      <w:r w:rsidRPr="00D33B5C">
        <w:rPr>
          <w:rFonts w:ascii="Times New Roman" w:hAnsi="Times New Roman" w:cs="Times New Roman"/>
        </w:rPr>
        <w:t xml:space="preserve"> (при командном участии - фамилия одного из участников) второй </w:t>
      </w:r>
      <w:proofErr w:type="spellStart"/>
      <w:r w:rsidRPr="00D33B5C">
        <w:rPr>
          <w:rFonts w:ascii="Times New Roman" w:hAnsi="Times New Roman" w:cs="Times New Roman"/>
        </w:rPr>
        <w:t>этап_название</w:t>
      </w:r>
      <w:proofErr w:type="spellEnd"/>
      <w:r w:rsidRPr="00D33B5C">
        <w:rPr>
          <w:rFonts w:ascii="Times New Roman" w:hAnsi="Times New Roman" w:cs="Times New Roman"/>
        </w:rPr>
        <w:t xml:space="preserve"> концепции).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lastRenderedPageBreak/>
        <w:t>Приложение 2.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Тематика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1. Анатомия природы недр</w:t>
      </w:r>
      <w:r w:rsidRPr="00D33B5C">
        <w:rPr>
          <w:rFonts w:ascii="Times New Roman" w:hAnsi="Times New Roman" w:cs="Times New Roman"/>
          <w:b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 Природа энергии</w:t>
      </w:r>
      <w:r w:rsidRPr="00D33B5C">
        <w:rPr>
          <w:rFonts w:ascii="Times New Roman" w:hAnsi="Times New Roman" w:cs="Times New Roman"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1.1.1.</w:t>
      </w:r>
      <w:r w:rsidRPr="00D33B5C">
        <w:rPr>
          <w:rFonts w:ascii="Times New Roman" w:hAnsi="Times New Roman" w:cs="Times New Roman"/>
        </w:rPr>
        <w:tab/>
        <w:t>Горная Югра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1.1.2. Природные ландшафты и недра Западной Сибири и Урала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1.1.3. Морфометрия и анатомия недр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1.1.4. Строение Земли. Геологическая история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1.1.5. Геологическая история и эволюция жизни на Земле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1.1.6. Твердые породы, руды и минералы. Месторождения полезных ископаемых и их добыча на Приполярном Урале и </w:t>
      </w:r>
      <w:proofErr w:type="gramStart"/>
      <w:r w:rsidRPr="00D33B5C">
        <w:rPr>
          <w:rFonts w:ascii="Times New Roman" w:hAnsi="Times New Roman" w:cs="Times New Roman"/>
        </w:rPr>
        <w:t>Западно-Сибирской</w:t>
      </w:r>
      <w:proofErr w:type="gramEnd"/>
      <w:r w:rsidRPr="00D33B5C">
        <w:rPr>
          <w:rFonts w:ascii="Times New Roman" w:hAnsi="Times New Roman" w:cs="Times New Roman"/>
        </w:rPr>
        <w:t xml:space="preserve"> низменности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1.1.7.</w:t>
      </w:r>
      <w:r w:rsidRPr="00D33B5C">
        <w:rPr>
          <w:rFonts w:ascii="Times New Roman" w:hAnsi="Times New Roman" w:cs="Times New Roman"/>
        </w:rPr>
        <w:tab/>
        <w:t>История горного дела Югры, Урала и Сибири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1.1.8. Географические и геологические открытия Урала и Сибири. Маркшейдерское искусство. Геологическое картографирование и экспедиционная деятельность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1.1.9. Климатические изменения и их влияние на геологические процессы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 xml:space="preserve"> Дополнительно: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 Новые горизонты: инновационные технологии глубокого бурения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 Технологии, позволяющие достигать ранее недоступные слои Земли для добычи энергии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 Геотермальная энергия: перспективы и вызовы  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 Кристаллы энергии: использование минералов для генерации электричества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 Преобразования минералов в эффективные источники энергии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6. Динамика недр: моделирование процессов формирования углеводородов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7. Разработка моделей, помогающих предсказать образование и распределение энергетических ресурсов в недрах.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8. Альтернативные источники: синтез энергии из сланцев и угольных пластов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9. Новые методы получения энергии из угольных ресурсов с минимизацией экологических рисков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10. Технологии хранения энергии: от литиевых батарей до квантовых решений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1.2. Нефть и газ</w:t>
      </w:r>
      <w:r w:rsidRPr="00D33B5C">
        <w:rPr>
          <w:rFonts w:ascii="Times New Roman" w:hAnsi="Times New Roman" w:cs="Times New Roman"/>
          <w:b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1.2.1.</w:t>
      </w:r>
      <w:r w:rsidRPr="00D33B5C">
        <w:rPr>
          <w:rFonts w:ascii="Times New Roman" w:hAnsi="Times New Roman" w:cs="Times New Roman"/>
        </w:rPr>
        <w:tab/>
        <w:t>Происхождение нефти и природного газа (лаборатория и классификация)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1.2.2. Основы геологии нефти и газа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1.2.3.</w:t>
      </w:r>
      <w:r w:rsidRPr="00D33B5C">
        <w:rPr>
          <w:rFonts w:ascii="Times New Roman" w:hAnsi="Times New Roman" w:cs="Times New Roman"/>
        </w:rPr>
        <w:tab/>
        <w:t>Нефть и газ на карте мира (глобальные и региональные аспекты и метрики)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1.2.4.</w:t>
      </w:r>
      <w:r w:rsidRPr="00D33B5C">
        <w:rPr>
          <w:rFonts w:ascii="Times New Roman" w:hAnsi="Times New Roman" w:cs="Times New Roman"/>
        </w:rPr>
        <w:tab/>
      </w:r>
      <w:proofErr w:type="gramStart"/>
      <w:r w:rsidRPr="00D33B5C">
        <w:rPr>
          <w:rFonts w:ascii="Times New Roman" w:hAnsi="Times New Roman" w:cs="Times New Roman"/>
        </w:rPr>
        <w:t>Западно-Сибирская</w:t>
      </w:r>
      <w:proofErr w:type="gramEnd"/>
      <w:r w:rsidRPr="00D33B5C">
        <w:rPr>
          <w:rFonts w:ascii="Times New Roman" w:hAnsi="Times New Roman" w:cs="Times New Roman"/>
        </w:rPr>
        <w:t xml:space="preserve"> нефтегазоносная </w:t>
      </w:r>
      <w:proofErr w:type="spellStart"/>
      <w:r w:rsidRPr="00D33B5C">
        <w:rPr>
          <w:rFonts w:ascii="Times New Roman" w:hAnsi="Times New Roman" w:cs="Times New Roman"/>
        </w:rPr>
        <w:t>суперпровинция</w:t>
      </w:r>
      <w:proofErr w:type="spellEnd"/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1.2.5.</w:t>
      </w:r>
      <w:r w:rsidRPr="00D33B5C">
        <w:rPr>
          <w:rFonts w:ascii="Times New Roman" w:hAnsi="Times New Roman" w:cs="Times New Roman"/>
        </w:rPr>
        <w:tab/>
        <w:t>Историческая ретроспектива поиска, добычи и транспортировки нефти и газа в Югре, России и мире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Дополнительно: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 Новые методы обнаружения нефти и газа: применение AI и машинного обучения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2. Искусственный интеллект для анализа данных и поиска новых месторождений углеводородов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 Устойчивые технологии добычи: минимизация воздействия на окружающую среду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 Биотехнологии в нефтегазовом секторе: использование микроорганизмов для увеличения </w:t>
      </w:r>
      <w:proofErr w:type="spellStart"/>
      <w:r w:rsidRPr="00D33B5C">
        <w:rPr>
          <w:rFonts w:ascii="Times New Roman" w:hAnsi="Times New Roman" w:cs="Times New Roman"/>
        </w:rPr>
        <w:t>извлекаемости</w:t>
      </w:r>
      <w:proofErr w:type="spellEnd"/>
      <w:r w:rsidRPr="00D33B5C">
        <w:rPr>
          <w:rFonts w:ascii="Times New Roman" w:hAnsi="Times New Roman" w:cs="Times New Roman"/>
        </w:rPr>
        <w:t xml:space="preserve">  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 Новые горизонты: сланцевая революция 2.0 и ее влияние на глобальный рынок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6. Газовые хранилища будущего: интеграция водорода и метана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7. Углеродный нейтралитет: углеводородные технологии для сокращения выбросов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2. Космос</w:t>
      </w:r>
      <w:r w:rsidRPr="00D33B5C">
        <w:rPr>
          <w:rFonts w:ascii="Times New Roman" w:hAnsi="Times New Roman" w:cs="Times New Roman"/>
          <w:b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2.1. Геология космоса</w:t>
      </w:r>
      <w:r w:rsidRPr="00D33B5C">
        <w:rPr>
          <w:rFonts w:ascii="Times New Roman" w:hAnsi="Times New Roman" w:cs="Times New Roman"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2.1.1. Формирование планет и их спутников: процессы и материалы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2.1.2. Метеориты и их роль в понимании геологической истории Солнечной системы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 xml:space="preserve">Дополнительно: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 Экзопланеты: анализ геологических процессов на планетах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 Геологические процессы на экзопланетах, потенциальных для проживания, с акцентом на их структуру и состав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 Ресурсы астероидов: добыча водорода, углеродов и металлов в космосе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lastRenderedPageBreak/>
        <w:t xml:space="preserve">4. Разработка технологий для исследования и добычи полезных ископаемых на астероидах для будущих космических миссий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 Марсианская геология: термические источники и их потенциал для обитаемости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6. Термальные источники на Марсе и их роль в поддержании потенциальных экосистем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7. Лунная геология: оценка ресурсов и устойчивость лунных баз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8. Минералогия Луны и оценка потенциальных ресурсов для поддержки долговременных лунных баз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9. Геоэкология галактик: взаимодействие геологических процессов с межзвёздным веществом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10. Межзвёздное вещество и геологические процессы в различных частях Галактики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11. </w:t>
      </w:r>
      <w:proofErr w:type="spellStart"/>
      <w:r w:rsidRPr="00D33B5C">
        <w:rPr>
          <w:rFonts w:ascii="Times New Roman" w:hAnsi="Times New Roman" w:cs="Times New Roman"/>
        </w:rPr>
        <w:t>Глубококосмические</w:t>
      </w:r>
      <w:proofErr w:type="spellEnd"/>
      <w:r w:rsidRPr="00D33B5C">
        <w:rPr>
          <w:rFonts w:ascii="Times New Roman" w:hAnsi="Times New Roman" w:cs="Times New Roman"/>
        </w:rPr>
        <w:t xml:space="preserve"> ресурсы: планетарные миссии и их влияние на земные технологии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3. История открытий</w:t>
      </w:r>
      <w:r w:rsidRPr="00D33B5C">
        <w:rPr>
          <w:rFonts w:ascii="Times New Roman" w:hAnsi="Times New Roman" w:cs="Times New Roman"/>
          <w:b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3.1. Первые открытия</w:t>
      </w:r>
      <w:r w:rsidRPr="00D33B5C">
        <w:rPr>
          <w:rFonts w:ascii="Times New Roman" w:hAnsi="Times New Roman" w:cs="Times New Roman"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3.1.1. Нефть и газ в цивилизации (с древности до 19 века)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3.1.2. Начало мировой истории геологоразведки, добычи (бурения), транспортировки и переработки нефти и газа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3.1.3. Развитие нефтегазовой индустрии в Югре, России и мире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3.2. Индустриальная и научно-техническая революции и их влияние на добычу газа и нефти</w:t>
      </w:r>
      <w:r w:rsidRPr="00D33B5C">
        <w:rPr>
          <w:rFonts w:ascii="Times New Roman" w:hAnsi="Times New Roman" w:cs="Times New Roman"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3.2.1. Роль нефти и газа в промышленном прогрессе 19 века и научно-технической революции 20 века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3.2.2. Влияние технологий на нефтедобычу: историческая ретроспектива и достижения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3.2.3. Развитие транспортных и перерабатывающих технологий в сфере нефтегазовой индустрии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3.3. История открытия и развития нефтегазовой отрасли в Западной Сибири и Югре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3.3.1. Открытие первых нефтяных месторождений в Западной Сибири: ключевые события и персоналии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3.3.2. Вклад Югры в развитие нефтегазовой индустрии России и мира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3.3.3. Историческая ретроспектива формирования нефтегазового технологического ландшафта Югры и Западной Сибири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Дополнительно: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 Геологические открытия и их влияние на экономическое развитие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 Технологические революции в добыче нефти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 Энергетические кризисы и новые открытия: как геология реагирует на вызовы времени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 Достижения в геологии и их роль в поисках новых резервуаров нефти и газа в условиях изменяющегося климата.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 Перспективы и вызовы: открытие альтернативных источников энергии как реакция на истощение ресурсов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4. Югра в эпоху нефти: трансформация территории и общества</w:t>
      </w:r>
      <w:r w:rsidRPr="00D33B5C">
        <w:rPr>
          <w:rFonts w:ascii="Times New Roman" w:hAnsi="Times New Roman" w:cs="Times New Roman"/>
          <w:b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4.1. Новый облик территории Югры в условиях нефтегазового освоения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4.1.1. Архитектурные и инфраструктурные изменения: новые поселения и их особенности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4.1.2. Влияние нефтегазовой индустрии на экономическое развитие региона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4.1.3. Трансформация природного ландшафта: </w:t>
      </w:r>
      <w:proofErr w:type="spellStart"/>
      <w:r w:rsidRPr="00D33B5C">
        <w:rPr>
          <w:rFonts w:ascii="Times New Roman" w:hAnsi="Times New Roman" w:cs="Times New Roman"/>
        </w:rPr>
        <w:t>экосистемные</w:t>
      </w:r>
      <w:proofErr w:type="spellEnd"/>
      <w:r w:rsidRPr="00D33B5C">
        <w:rPr>
          <w:rFonts w:ascii="Times New Roman" w:hAnsi="Times New Roman" w:cs="Times New Roman"/>
        </w:rPr>
        <w:t xml:space="preserve"> изменения и их последствия.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4.2. Социальные аспекты жизни людей в условиях нефтегазового освоения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4.2.1. Изменение образа жизни и культуры населения: миссия общества, профессиональные и культурные вызовы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4.2.2. Миграции, демографии, многонациональность и сохранение социальной идентичности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4.2.3. Социальные инициативы и программы по улучшению качества жизни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4.3. Экологические вызовы и решения в свете нефтегазового освоения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4.3.1. Воздействие на природу: вызовы и решения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4.3.2. Меры по охране окружающей среды: восстановление экосистем и устойчивое развитие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4.3.3. Роль индустрии и населения в охране природы: просвещение и </w:t>
      </w:r>
      <w:proofErr w:type="spellStart"/>
      <w:r w:rsidRPr="00D33B5C">
        <w:rPr>
          <w:rFonts w:ascii="Times New Roman" w:hAnsi="Times New Roman" w:cs="Times New Roman"/>
        </w:rPr>
        <w:t>активизм</w:t>
      </w:r>
      <w:proofErr w:type="spellEnd"/>
      <w:r w:rsidRPr="00D33B5C">
        <w:rPr>
          <w:rFonts w:ascii="Times New Roman" w:hAnsi="Times New Roman" w:cs="Times New Roman"/>
        </w:rPr>
        <w:t xml:space="preserve">, </w:t>
      </w:r>
      <w:proofErr w:type="spellStart"/>
      <w:r w:rsidRPr="00D33B5C">
        <w:rPr>
          <w:rFonts w:ascii="Times New Roman" w:hAnsi="Times New Roman" w:cs="Times New Roman"/>
        </w:rPr>
        <w:t>волонтерство</w:t>
      </w:r>
      <w:proofErr w:type="spellEnd"/>
      <w:r w:rsidRPr="00D33B5C">
        <w:rPr>
          <w:rFonts w:ascii="Times New Roman" w:hAnsi="Times New Roman" w:cs="Times New Roman"/>
        </w:rPr>
        <w:t xml:space="preserve"> и добровольчество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Дополнительно: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 Социальные изменения в обществе Югры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lastRenderedPageBreak/>
        <w:t xml:space="preserve">2. Экологические вызовы и устойчивое развитие: новая парадигма освоения недр в Югре  </w:t>
      </w:r>
    </w:p>
    <w:p w:rsidR="00ED6BC4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 Культурная идентичность Югры в условиях глобализации: как нефть формирует новые ценности  </w:t>
      </w:r>
    </w:p>
    <w:p w:rsidR="00D33B5C" w:rsidRP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5. Технологии и управление</w:t>
      </w:r>
      <w:r w:rsidRPr="00D33B5C">
        <w:rPr>
          <w:rFonts w:ascii="Times New Roman" w:hAnsi="Times New Roman" w:cs="Times New Roman"/>
          <w:b/>
        </w:rPr>
        <w:tab/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5.1. Эволюция технологии процессов в нефтегазовой индустрии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5.1.1. Развитие методов геологоразведки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5.1.2. Инновации в картографировании и ГИС технологиях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5.1.3. Традиционные и современные технологии добычи нефти и газа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5.1.4. Решения по хранению углеводородов: от танкеров до подземного хранения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5.1.5. Транспортные маршруты и инфраструктура: от трубопроводов до танкеров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5.1.6. Безопасность в производственном процессе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5.1.7. Современные технологии переработки нефти и газа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5.1.8. Жизненные циклы продукции: от добычи до использования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5.1.9. Эволюция методов работы с производственными отходами нефтегазовой индустрии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5.2. Управление и мониторинг производственных процессов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5.2.1. Современные системы управления производственными процессами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5.2.2. Роль автоматизации и цифровизации в нефтегазовой отрасли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5.2.3. Подготовка кадров и корпоративная культура в нефтегазовой индустрии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5.2.4. Истории компаний нефтегазовой индустрии в Югре, России и мире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Дополнительно: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1. Цифровизация нефтегазового сектора: внедрение </w:t>
      </w:r>
      <w:proofErr w:type="spellStart"/>
      <w:r w:rsidRPr="00D33B5C">
        <w:rPr>
          <w:rFonts w:ascii="Times New Roman" w:hAnsi="Times New Roman" w:cs="Times New Roman"/>
        </w:rPr>
        <w:t>IoT</w:t>
      </w:r>
      <w:proofErr w:type="spellEnd"/>
      <w:r w:rsidRPr="00D33B5C">
        <w:rPr>
          <w:rFonts w:ascii="Times New Roman" w:hAnsi="Times New Roman" w:cs="Times New Roman"/>
        </w:rPr>
        <w:t xml:space="preserve"> для мониторинга инфраструктуры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2. Углеродные технологии: новейшие методы улавливания и хранения углерода (CCS)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3. Совершенствование процессов переработки: использование нанотехнологий в нефтехимии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4. Аналитика и прогнозирование: роль AI в принятии управленческих решений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5. Автономные дрон-технологии: новый подход к инспекции и обслуживанию месторождений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6. Циркулярная экономика в нефтегазовом секторе: от отходов к ресурсам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7. Глобальные изменения: адаптация стратегий управления в условиях изменения климата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8. Инновации в бурении: новые технологии и методы высокой точности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9. Энергетическая трансформация: переход к водородным технологиям в </w:t>
      </w:r>
      <w:proofErr w:type="spellStart"/>
      <w:r w:rsidRPr="00D33B5C">
        <w:rPr>
          <w:rFonts w:ascii="Times New Roman" w:hAnsi="Times New Roman" w:cs="Times New Roman"/>
        </w:rPr>
        <w:t>нефтегазе</w:t>
      </w:r>
      <w:proofErr w:type="spellEnd"/>
      <w:r w:rsidRPr="00D33B5C">
        <w:rPr>
          <w:rFonts w:ascii="Times New Roman" w:hAnsi="Times New Roman" w:cs="Times New Roman"/>
        </w:rPr>
        <w:t xml:space="preserve">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10. Сентиментальные технологии: как анализ настроений влияет на стратегические решения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11. Новые управленческие парадигмы: парадигма «умного» управления интересами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12. Смешанные реальности и обучение: применение AR/VR для подготовки специалистов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13. Цифровая устойчивость: развитие стратегий противодействия </w:t>
      </w:r>
      <w:proofErr w:type="spellStart"/>
      <w:r w:rsidRPr="00D33B5C">
        <w:rPr>
          <w:rFonts w:ascii="Times New Roman" w:hAnsi="Times New Roman" w:cs="Times New Roman"/>
        </w:rPr>
        <w:t>киберугрозам</w:t>
      </w:r>
      <w:proofErr w:type="spellEnd"/>
      <w:r w:rsidRPr="00D33B5C">
        <w:rPr>
          <w:rFonts w:ascii="Times New Roman" w:hAnsi="Times New Roman" w:cs="Times New Roman"/>
        </w:rPr>
        <w:t xml:space="preserve"> в нефтегазовой индустрии  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lastRenderedPageBreak/>
        <w:t xml:space="preserve">Приложение 3. 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План и фотографии зала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</w:rPr>
      </w:pPr>
      <w:bookmarkStart w:id="9" w:name="_Hlk191994428"/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План выставочного зала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33B5C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772926B" wp14:editId="3167F81A">
            <wp:simplePos x="0" y="0"/>
            <wp:positionH relativeFrom="margin">
              <wp:align>right</wp:align>
            </wp:positionH>
            <wp:positionV relativeFrom="paragraph">
              <wp:posOffset>295275</wp:posOffset>
            </wp:positionV>
            <wp:extent cx="6181725" cy="6934200"/>
            <wp:effectExtent l="0" t="0" r="9525" b="0"/>
            <wp:wrapTight wrapText="bothSides">
              <wp:wrapPolygon edited="0">
                <wp:start x="0" y="0"/>
                <wp:lineTo x="0" y="21541"/>
                <wp:lineTo x="21567" y="21541"/>
                <wp:lineTo x="21567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693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         </w:t>
      </w:r>
    </w:p>
    <w:p w:rsid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D33B5C" w:rsidP="00D33B5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292781DB" wp14:editId="6BAD8A6B">
            <wp:simplePos x="0" y="0"/>
            <wp:positionH relativeFrom="margin">
              <wp:posOffset>-632460</wp:posOffset>
            </wp:positionH>
            <wp:positionV relativeFrom="paragraph">
              <wp:posOffset>1414145</wp:posOffset>
            </wp:positionV>
            <wp:extent cx="7506970" cy="5532120"/>
            <wp:effectExtent l="0" t="3175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506970" cy="5532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6BC4" w:rsidRPr="00D33B5C">
        <w:rPr>
          <w:rFonts w:ascii="Times New Roman" w:hAnsi="Times New Roman" w:cs="Times New Roman"/>
        </w:rPr>
        <w:t>Обмерный план</w:t>
      </w:r>
    </w:p>
    <w:p w:rsidR="00ED6BC4" w:rsidRPr="00D33B5C" w:rsidRDefault="00ED6BC4" w:rsidP="00ED6BC4">
      <w:pPr>
        <w:spacing w:after="0" w:line="240" w:lineRule="auto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33B5C" w:rsidRDefault="00D33B5C" w:rsidP="00ED6BC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lastRenderedPageBreak/>
        <w:t>План с примерным расположением выставочного оборудования</w:t>
      </w:r>
    </w:p>
    <w:p w:rsidR="00ED6BC4" w:rsidRPr="00D33B5C" w:rsidRDefault="00D33B5C" w:rsidP="00ED6BC4">
      <w:pPr>
        <w:jc w:val="center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6432" behindDoc="0" locked="0" layoutInCell="1" allowOverlap="1" wp14:anchorId="0B6EEF66" wp14:editId="39E2D5C0">
            <wp:simplePos x="0" y="0"/>
            <wp:positionH relativeFrom="margin">
              <wp:align>center</wp:align>
            </wp:positionH>
            <wp:positionV relativeFrom="paragraph">
              <wp:posOffset>7587615</wp:posOffset>
            </wp:positionV>
            <wp:extent cx="3626485" cy="2040255"/>
            <wp:effectExtent l="0" t="0" r="0" b="0"/>
            <wp:wrapTopAndBottom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6485" cy="204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3B5C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5408" behindDoc="0" locked="0" layoutInCell="1" allowOverlap="1" wp14:anchorId="416A0B3E" wp14:editId="1C3E27F0">
            <wp:simplePos x="0" y="0"/>
            <wp:positionH relativeFrom="margin">
              <wp:posOffset>-898525</wp:posOffset>
            </wp:positionH>
            <wp:positionV relativeFrom="paragraph">
              <wp:posOffset>2250440</wp:posOffset>
            </wp:positionV>
            <wp:extent cx="7030720" cy="3496310"/>
            <wp:effectExtent l="0" t="4445" r="0" b="0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030720" cy="3496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6BC4" w:rsidRPr="00D33B5C">
        <w:rPr>
          <w:rFonts w:ascii="Times New Roman" w:hAnsi="Times New Roman" w:cs="Times New Roman"/>
        </w:rPr>
        <w:t xml:space="preserve">Фотографии выставочного зала в режиме реального времени (размещенные объекты и экспонаты на </w:t>
      </w:r>
      <w:r w:rsidRPr="00D33B5C">
        <w:rPr>
          <w:rFonts w:ascii="Times New Roman" w:hAnsi="Times New Roman" w:cs="Times New Roman"/>
        </w:rPr>
        <w:t>фотографиях не рассматриваются в концепциях выставочных проектов участников)</w:t>
      </w:r>
    </w:p>
    <w:p w:rsidR="00ED6BC4" w:rsidRPr="00D33B5C" w:rsidRDefault="00ED6BC4" w:rsidP="00ED6BC4">
      <w:pPr>
        <w:jc w:val="center"/>
        <w:rPr>
          <w:rFonts w:ascii="Times New Roman" w:hAnsi="Times New Roman" w:cs="Times New Roman"/>
          <w:b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ED6BC4" w:rsidRPr="00D33B5C" w:rsidTr="00A353B8">
        <w:tc>
          <w:tcPr>
            <w:tcW w:w="9736" w:type="dxa"/>
          </w:tcPr>
          <w:p w:rsidR="00ED6BC4" w:rsidRPr="00D33B5C" w:rsidRDefault="00ED6BC4" w:rsidP="00A353B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3B5C"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inline distT="0" distB="0" distL="0" distR="0" wp14:anchorId="06BA2E2D" wp14:editId="2F8A316A">
                  <wp:extent cx="3629689" cy="2421539"/>
                  <wp:effectExtent l="0" t="0" r="889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90713" cy="246225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6BC4" w:rsidRPr="00D33B5C" w:rsidTr="00A353B8">
        <w:tc>
          <w:tcPr>
            <w:tcW w:w="9736" w:type="dxa"/>
          </w:tcPr>
          <w:p w:rsidR="00ED6BC4" w:rsidRPr="00D33B5C" w:rsidRDefault="00ED6BC4" w:rsidP="00A353B8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ED6BC4" w:rsidRPr="00D33B5C" w:rsidRDefault="00ED6BC4" w:rsidP="00A353B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3B5C"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inline distT="0" distB="0" distL="0" distR="0" wp14:anchorId="63968AC5" wp14:editId="21568A8D">
                  <wp:extent cx="3596185" cy="2397648"/>
                  <wp:effectExtent l="0" t="0" r="4445" b="317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6904" cy="243146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9"/>
    </w:tbl>
    <w:p w:rsidR="00ED6BC4" w:rsidRPr="00D33B5C" w:rsidRDefault="00ED6BC4" w:rsidP="00ED6BC4">
      <w:pPr>
        <w:spacing w:after="0" w:line="240" w:lineRule="auto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bookmarkStart w:id="10" w:name="_Hlk191913582"/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lastRenderedPageBreak/>
        <w:t xml:space="preserve">Приложение 4. 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 xml:space="preserve">Примерный шаблон аннотации концепции выставочного проекта 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(первый этап)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1. Название проекта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Краткое и запоминающееся название выставки.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2. Введение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Общая информация о целях и значении проекта.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Актуальность темы выставки в современном контексте.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3. Цели выставки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Определение основных целей проекта.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Что мы хотим донести до посетителей.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4. Концепция и содержание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Основные темы и идеи, которые будут представлены на выставке.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Краткое описание экспонатов, инсталляций и других элементов.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5. Формат и структура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Описание формата выставки.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Планируемая структура выставки.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6. Целевая аудитория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Описание основных категорий посетителей.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7. Место и время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Местоположение выставки и даты проведения.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8. Ожидаемые результаты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 xml:space="preserve">   - Прогнозируемый эффект выставки: изменение восприятия, образовательный эффект, культурные достижения.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</w:rPr>
        <w:t>9. Идеи интерактивных элементов и технологий, вовлекающие посетителей во взаимодействие.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bookmarkEnd w:id="10"/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D33B5C" w:rsidRDefault="00D33B5C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bookmarkStart w:id="11" w:name="_GoBack"/>
      <w:bookmarkEnd w:id="11"/>
      <w:r w:rsidRPr="00D33B5C">
        <w:rPr>
          <w:rFonts w:ascii="Times New Roman" w:hAnsi="Times New Roman" w:cs="Times New Roman"/>
          <w:b/>
        </w:rPr>
        <w:lastRenderedPageBreak/>
        <w:t xml:space="preserve">Приложение 5. 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 xml:space="preserve">Примерный шаблон концепции выставочного проекта 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(второй этап)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tbl>
      <w:tblPr>
        <w:tblW w:w="973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4"/>
        <w:gridCol w:w="2029"/>
        <w:gridCol w:w="2209"/>
        <w:gridCol w:w="2108"/>
      </w:tblGrid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название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сроки / локация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оборудование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цель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задачи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gridSpan w:val="4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E5A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раздел 1 (максимально по пяти разделов)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gridSpan w:val="4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Название раздела…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Визуализация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Экспонаты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Интерактивный элемент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Тематическая панель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Предметное наполнение: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Предметное наполнение: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Предметное наполнение: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Предметное наполнение: 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gridSpan w:val="4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E5A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Раздел 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gridSpan w:val="4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Название раздела…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Визуализация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Экспонаты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Интерактивный элемент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ED6BC4" w:rsidRPr="00D33B5C" w:rsidRDefault="00ED6BC4" w:rsidP="00A35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Тематическая панель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Предметное наполнение: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Предметное наполнение: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Предметное наполнение: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Предметное наполнение: 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…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Принципы построения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Методы построения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Ссылка на визуализацию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Cs/>
                <w:lang w:eastAsia="ru-RU"/>
              </w:rPr>
              <w:t>Указать ссылку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Основные понятия / персоналии / фактология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Научная справка (1-2 страницы на раздел)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F2D0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Список использованных источников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…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Приложение 1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Тематико-экспозиционный план (указать ссылку) 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Приложение 2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Дополнительный материалы (указать ссылку) </w:t>
            </w:r>
          </w:p>
        </w:tc>
      </w:tr>
      <w:tr w:rsidR="00ED6BC4" w:rsidRPr="00D33B5C" w:rsidTr="00A353B8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Приложение 3</w:t>
            </w:r>
          </w:p>
        </w:tc>
        <w:tc>
          <w:tcPr>
            <w:tcW w:w="0" w:type="auto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vAlign w:val="bottom"/>
            <w:hideMark/>
          </w:tcPr>
          <w:p w:rsidR="00ED6BC4" w:rsidRPr="00D33B5C" w:rsidRDefault="00ED6BC4" w:rsidP="00A353B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3B5C">
              <w:rPr>
                <w:rFonts w:ascii="Times New Roman" w:eastAsia="Times New Roman" w:hAnsi="Times New Roman" w:cs="Times New Roman"/>
                <w:lang w:eastAsia="ru-RU"/>
              </w:rPr>
              <w:t>Визуализация (указать ссылку)</w:t>
            </w:r>
          </w:p>
        </w:tc>
      </w:tr>
    </w:tbl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33B5C">
        <w:rPr>
          <w:rFonts w:ascii="Times New Roman" w:hAnsi="Times New Roman" w:cs="Times New Roman"/>
          <w:b/>
        </w:rPr>
        <w:t>Примечание: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b/>
        </w:rPr>
        <w:t xml:space="preserve">Визуализация – </w:t>
      </w:r>
      <w:r w:rsidR="00D33B5C">
        <w:rPr>
          <w:rFonts w:ascii="Times New Roman" w:hAnsi="Times New Roman" w:cs="Times New Roman"/>
        </w:rPr>
        <w:t>п</w:t>
      </w:r>
      <w:r w:rsidRPr="00D33B5C">
        <w:rPr>
          <w:rFonts w:ascii="Times New Roman" w:hAnsi="Times New Roman" w:cs="Times New Roman"/>
        </w:rPr>
        <w:t>редставление информации, концепций или идей через графические, аудиовизуальные или пространственные средства, которые помогают зрителям лучше понять и воспринять выставочное содержание.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b/>
        </w:rPr>
        <w:t xml:space="preserve">Экспонаты – </w:t>
      </w:r>
      <w:r w:rsidRPr="00D33B5C">
        <w:rPr>
          <w:rFonts w:ascii="Times New Roman" w:hAnsi="Times New Roman" w:cs="Times New Roman"/>
        </w:rPr>
        <w:t>Объекты, произведения искусства, артефакты или другие материалы, представленные на выставке для демонстрации, изучения или обсуждения в контексте заданной темы.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b/>
        </w:rPr>
        <w:t xml:space="preserve">Интерактивный элемент – </w:t>
      </w:r>
      <w:r w:rsidR="00D33B5C">
        <w:rPr>
          <w:rFonts w:ascii="Times New Roman" w:hAnsi="Times New Roman" w:cs="Times New Roman"/>
        </w:rPr>
        <w:t>ч</w:t>
      </w:r>
      <w:r w:rsidRPr="00D33B5C">
        <w:rPr>
          <w:rFonts w:ascii="Times New Roman" w:hAnsi="Times New Roman" w:cs="Times New Roman"/>
        </w:rPr>
        <w:t>асть выставки, которая предоставляет посетителям возможность активно участвовать в процессе восприятия информации, вовлекая их в действия, такие как игры, исследования или цифровые взаимодействия.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b/>
        </w:rPr>
        <w:lastRenderedPageBreak/>
        <w:t xml:space="preserve">Тематическая панель – </w:t>
      </w:r>
      <w:r w:rsidR="00D33B5C">
        <w:rPr>
          <w:rFonts w:ascii="Times New Roman" w:hAnsi="Times New Roman" w:cs="Times New Roman"/>
        </w:rPr>
        <w:t>ч</w:t>
      </w:r>
      <w:r w:rsidRPr="00D33B5C">
        <w:rPr>
          <w:rFonts w:ascii="Times New Roman" w:hAnsi="Times New Roman" w:cs="Times New Roman"/>
        </w:rPr>
        <w:t>асть выставочного пространства, посвященная определенной теме, где размещаются текстовые, визуальные и мультимедийные материалы, которые объясняют или иллюстрируют основные идеи, связанные с данной темой.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b/>
        </w:rPr>
        <w:t xml:space="preserve">Предметное наполнение – </w:t>
      </w:r>
      <w:r w:rsidR="00D33B5C">
        <w:rPr>
          <w:rFonts w:ascii="Times New Roman" w:hAnsi="Times New Roman" w:cs="Times New Roman"/>
        </w:rPr>
        <w:t>с</w:t>
      </w:r>
      <w:r w:rsidRPr="00D33B5C">
        <w:rPr>
          <w:rFonts w:ascii="Times New Roman" w:hAnsi="Times New Roman" w:cs="Times New Roman"/>
        </w:rPr>
        <w:t>остав экспонатов и материалов, которые используются для передачи основной идеи выставки, включая их количество, качество и разнообразие.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b/>
        </w:rPr>
        <w:t xml:space="preserve">Принципы построения – </w:t>
      </w:r>
      <w:r w:rsidR="00D33B5C">
        <w:rPr>
          <w:rFonts w:ascii="Times New Roman" w:hAnsi="Times New Roman" w:cs="Times New Roman"/>
        </w:rPr>
        <w:t>о</w:t>
      </w:r>
      <w:r w:rsidRPr="00D33B5C">
        <w:rPr>
          <w:rFonts w:ascii="Times New Roman" w:hAnsi="Times New Roman" w:cs="Times New Roman"/>
        </w:rPr>
        <w:t>сновные правила и подходы, которые определяют организацию выставочного пространства и порядок презентации материалов, основываясь на целевой аудитории и концепции проекта.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b/>
        </w:rPr>
        <w:t xml:space="preserve">Методы построения – </w:t>
      </w:r>
      <w:r w:rsidR="00D33B5C">
        <w:rPr>
          <w:rFonts w:ascii="Times New Roman" w:hAnsi="Times New Roman" w:cs="Times New Roman"/>
        </w:rPr>
        <w:t>к</w:t>
      </w:r>
      <w:r w:rsidRPr="00D33B5C">
        <w:rPr>
          <w:rFonts w:ascii="Times New Roman" w:hAnsi="Times New Roman" w:cs="Times New Roman"/>
        </w:rPr>
        <w:t>онкретные приемы и техники, используемые для реализации выставочного проекта, включая способы монтажа экспонатов, организацию взаимодействия с посетителями и оформление пространства.</w:t>
      </w: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33B5C">
        <w:rPr>
          <w:rFonts w:ascii="Times New Roman" w:hAnsi="Times New Roman" w:cs="Times New Roman"/>
          <w:b/>
        </w:rPr>
        <w:t xml:space="preserve">Тематико-экспозиционный план - </w:t>
      </w:r>
      <w:r w:rsidR="00D33B5C">
        <w:rPr>
          <w:rFonts w:ascii="Times New Roman" w:hAnsi="Times New Roman" w:cs="Times New Roman"/>
        </w:rPr>
        <w:t>д</w:t>
      </w:r>
      <w:r w:rsidRPr="00D33B5C">
        <w:rPr>
          <w:rFonts w:ascii="Times New Roman" w:hAnsi="Times New Roman" w:cs="Times New Roman"/>
        </w:rPr>
        <w:t>окумент, описывающий структуру и содержание выставки, включая распределение тем, описание экспонатов и их взаимосвязь, а также визуальное и пространственное представление выставки.</w:t>
      </w: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ED6BC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D6BC4" w:rsidRPr="00D33B5C" w:rsidRDefault="00ED6BC4" w:rsidP="009E7DF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sectPr w:rsidR="00ED6BC4" w:rsidRPr="00D33B5C" w:rsidSect="00D33B5C">
      <w:footerReference w:type="default" r:id="rId21"/>
      <w:footerReference w:type="first" r:id="rId22"/>
      <w:pgSz w:w="11906" w:h="16838"/>
      <w:pgMar w:top="851" w:right="850" w:bottom="567" w:left="1418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0055" w:rsidRDefault="00E50055" w:rsidP="00617B40">
      <w:pPr>
        <w:spacing w:after="0" w:line="240" w:lineRule="auto"/>
      </w:pPr>
      <w:r>
        <w:separator/>
      </w:r>
    </w:p>
  </w:endnote>
  <w:endnote w:type="continuationSeparator" w:id="0">
    <w:p w:rsidR="00E50055" w:rsidRDefault="00E5005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65800969"/>
      <w:docPartObj>
        <w:docPartGallery w:val="Page Numbers (Bottom of Page)"/>
        <w:docPartUnique/>
      </w:docPartObj>
    </w:sdtPr>
    <w:sdtContent>
      <w:p w:rsidR="00D33B5C" w:rsidRDefault="00D33B5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1CF9">
          <w:rPr>
            <w:noProof/>
          </w:rPr>
          <w:t>1</w:t>
        </w:r>
        <w:r>
          <w:fldChar w:fldCharType="end"/>
        </w:r>
      </w:p>
    </w:sdtContent>
  </w:sdt>
  <w:p w:rsidR="00D33B5C" w:rsidRDefault="00D33B5C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8697484"/>
      <w:docPartObj>
        <w:docPartGallery w:val="Page Numbers (Bottom of Page)"/>
        <w:docPartUnique/>
      </w:docPartObj>
    </w:sdtPr>
    <w:sdtContent>
      <w:p w:rsidR="00D33B5C" w:rsidRDefault="00D33B5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D33B5C" w:rsidRDefault="00D33B5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0055" w:rsidRDefault="00E50055" w:rsidP="00617B40">
      <w:pPr>
        <w:spacing w:after="0" w:line="240" w:lineRule="auto"/>
      </w:pPr>
      <w:r>
        <w:separator/>
      </w:r>
    </w:p>
  </w:footnote>
  <w:footnote w:type="continuationSeparator" w:id="0">
    <w:p w:rsidR="00E50055" w:rsidRDefault="00E50055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B83CCF"/>
    <w:multiLevelType w:val="multilevel"/>
    <w:tmpl w:val="12A001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4063E"/>
    <w:rsid w:val="000441CD"/>
    <w:rsid w:val="00044286"/>
    <w:rsid w:val="00047A1B"/>
    <w:rsid w:val="000553F6"/>
    <w:rsid w:val="000606BD"/>
    <w:rsid w:val="00073F20"/>
    <w:rsid w:val="0008039C"/>
    <w:rsid w:val="0008192A"/>
    <w:rsid w:val="0009485B"/>
    <w:rsid w:val="00094C89"/>
    <w:rsid w:val="00097113"/>
    <w:rsid w:val="000A20DE"/>
    <w:rsid w:val="000B30E4"/>
    <w:rsid w:val="000B4C48"/>
    <w:rsid w:val="000B6BD3"/>
    <w:rsid w:val="000D23CD"/>
    <w:rsid w:val="000E2AD9"/>
    <w:rsid w:val="000F242D"/>
    <w:rsid w:val="000F4AB2"/>
    <w:rsid w:val="0011265F"/>
    <w:rsid w:val="00113D3B"/>
    <w:rsid w:val="00115F21"/>
    <w:rsid w:val="00150967"/>
    <w:rsid w:val="00167936"/>
    <w:rsid w:val="00182B80"/>
    <w:rsid w:val="001847D2"/>
    <w:rsid w:val="0018600B"/>
    <w:rsid w:val="00186A59"/>
    <w:rsid w:val="001C5C3F"/>
    <w:rsid w:val="001D49D5"/>
    <w:rsid w:val="001F51C0"/>
    <w:rsid w:val="00225C7D"/>
    <w:rsid w:val="002300FD"/>
    <w:rsid w:val="00234040"/>
    <w:rsid w:val="002529F0"/>
    <w:rsid w:val="002562A4"/>
    <w:rsid w:val="00256555"/>
    <w:rsid w:val="002578BA"/>
    <w:rsid w:val="00261D49"/>
    <w:rsid w:val="002714A6"/>
    <w:rsid w:val="00285654"/>
    <w:rsid w:val="002A75A0"/>
    <w:rsid w:val="002C4238"/>
    <w:rsid w:val="002C45E0"/>
    <w:rsid w:val="002D0994"/>
    <w:rsid w:val="002E2F93"/>
    <w:rsid w:val="002E70B6"/>
    <w:rsid w:val="00301280"/>
    <w:rsid w:val="00343BF0"/>
    <w:rsid w:val="00343FF5"/>
    <w:rsid w:val="00355512"/>
    <w:rsid w:val="003624D8"/>
    <w:rsid w:val="00393DAD"/>
    <w:rsid w:val="00397EFC"/>
    <w:rsid w:val="003A4E6A"/>
    <w:rsid w:val="003C25D1"/>
    <w:rsid w:val="003C585F"/>
    <w:rsid w:val="003F2416"/>
    <w:rsid w:val="003F3603"/>
    <w:rsid w:val="00404BE7"/>
    <w:rsid w:val="00414EEB"/>
    <w:rsid w:val="00417101"/>
    <w:rsid w:val="00422070"/>
    <w:rsid w:val="00431272"/>
    <w:rsid w:val="004323CE"/>
    <w:rsid w:val="004333EE"/>
    <w:rsid w:val="0044500A"/>
    <w:rsid w:val="00465FC6"/>
    <w:rsid w:val="004A116F"/>
    <w:rsid w:val="004B28BF"/>
    <w:rsid w:val="004C069C"/>
    <w:rsid w:val="004C092D"/>
    <w:rsid w:val="004C7125"/>
    <w:rsid w:val="004E7E7E"/>
    <w:rsid w:val="004F3E7E"/>
    <w:rsid w:val="004F72DA"/>
    <w:rsid w:val="004F7CDE"/>
    <w:rsid w:val="00521134"/>
    <w:rsid w:val="00532CA8"/>
    <w:rsid w:val="0053756C"/>
    <w:rsid w:val="005439BD"/>
    <w:rsid w:val="0056694C"/>
    <w:rsid w:val="00572453"/>
    <w:rsid w:val="00593719"/>
    <w:rsid w:val="005A66B0"/>
    <w:rsid w:val="005B2935"/>
    <w:rsid w:val="005B7083"/>
    <w:rsid w:val="005D125E"/>
    <w:rsid w:val="005E0437"/>
    <w:rsid w:val="005F0864"/>
    <w:rsid w:val="00617B40"/>
    <w:rsid w:val="0062166C"/>
    <w:rsid w:val="00623C81"/>
    <w:rsid w:val="00624276"/>
    <w:rsid w:val="00626321"/>
    <w:rsid w:val="00633EE8"/>
    <w:rsid w:val="00636F28"/>
    <w:rsid w:val="00653B74"/>
    <w:rsid w:val="00655734"/>
    <w:rsid w:val="006615CF"/>
    <w:rsid w:val="006722F9"/>
    <w:rsid w:val="00681141"/>
    <w:rsid w:val="006A5B30"/>
    <w:rsid w:val="006B1282"/>
    <w:rsid w:val="006C2184"/>
    <w:rsid w:val="006C37AF"/>
    <w:rsid w:val="006C4C32"/>
    <w:rsid w:val="006C77B8"/>
    <w:rsid w:val="006C7EFE"/>
    <w:rsid w:val="006D18AE"/>
    <w:rsid w:val="006D495B"/>
    <w:rsid w:val="006F340F"/>
    <w:rsid w:val="00702237"/>
    <w:rsid w:val="00722595"/>
    <w:rsid w:val="00724963"/>
    <w:rsid w:val="007343BF"/>
    <w:rsid w:val="00745ACB"/>
    <w:rsid w:val="0077481C"/>
    <w:rsid w:val="007A0722"/>
    <w:rsid w:val="007B6654"/>
    <w:rsid w:val="007C5828"/>
    <w:rsid w:val="007E266C"/>
    <w:rsid w:val="007E4467"/>
    <w:rsid w:val="007E4DEB"/>
    <w:rsid w:val="00805A4C"/>
    <w:rsid w:val="00822F9D"/>
    <w:rsid w:val="00827A88"/>
    <w:rsid w:val="008459BB"/>
    <w:rsid w:val="00860362"/>
    <w:rsid w:val="00883027"/>
    <w:rsid w:val="00886731"/>
    <w:rsid w:val="00887852"/>
    <w:rsid w:val="00897CB6"/>
    <w:rsid w:val="008C2ACB"/>
    <w:rsid w:val="008D6252"/>
    <w:rsid w:val="008E4601"/>
    <w:rsid w:val="00903670"/>
    <w:rsid w:val="00903CF1"/>
    <w:rsid w:val="00910CE3"/>
    <w:rsid w:val="00911431"/>
    <w:rsid w:val="00927695"/>
    <w:rsid w:val="00933810"/>
    <w:rsid w:val="00933AB1"/>
    <w:rsid w:val="00943D1B"/>
    <w:rsid w:val="009466F5"/>
    <w:rsid w:val="0096338B"/>
    <w:rsid w:val="0097455A"/>
    <w:rsid w:val="00977458"/>
    <w:rsid w:val="009917B5"/>
    <w:rsid w:val="009A17D0"/>
    <w:rsid w:val="009A231B"/>
    <w:rsid w:val="009C0855"/>
    <w:rsid w:val="009C1751"/>
    <w:rsid w:val="009C71C6"/>
    <w:rsid w:val="009D5B7E"/>
    <w:rsid w:val="009E0F88"/>
    <w:rsid w:val="009E7DF8"/>
    <w:rsid w:val="009F1759"/>
    <w:rsid w:val="009F6EC2"/>
    <w:rsid w:val="00A10B6E"/>
    <w:rsid w:val="00A14960"/>
    <w:rsid w:val="00A33D50"/>
    <w:rsid w:val="00A353B8"/>
    <w:rsid w:val="00A7204A"/>
    <w:rsid w:val="00A9341C"/>
    <w:rsid w:val="00AA06DF"/>
    <w:rsid w:val="00AB7A78"/>
    <w:rsid w:val="00AC128B"/>
    <w:rsid w:val="00AC16A7"/>
    <w:rsid w:val="00AC194A"/>
    <w:rsid w:val="00AC3831"/>
    <w:rsid w:val="00AD0D7D"/>
    <w:rsid w:val="00AD697A"/>
    <w:rsid w:val="00AE1CF9"/>
    <w:rsid w:val="00AF452B"/>
    <w:rsid w:val="00B17E67"/>
    <w:rsid w:val="00B2079F"/>
    <w:rsid w:val="00B2259C"/>
    <w:rsid w:val="00B230DD"/>
    <w:rsid w:val="00B24CE9"/>
    <w:rsid w:val="00B30F52"/>
    <w:rsid w:val="00B443D9"/>
    <w:rsid w:val="00B45F61"/>
    <w:rsid w:val="00B50F53"/>
    <w:rsid w:val="00B52715"/>
    <w:rsid w:val="00B53A62"/>
    <w:rsid w:val="00B605EA"/>
    <w:rsid w:val="00B626AF"/>
    <w:rsid w:val="00B76CD1"/>
    <w:rsid w:val="00B81A2D"/>
    <w:rsid w:val="00B87BB0"/>
    <w:rsid w:val="00BB611F"/>
    <w:rsid w:val="00BB6639"/>
    <w:rsid w:val="00BE246D"/>
    <w:rsid w:val="00BE2AF4"/>
    <w:rsid w:val="00BF262A"/>
    <w:rsid w:val="00C002B4"/>
    <w:rsid w:val="00C16253"/>
    <w:rsid w:val="00C20506"/>
    <w:rsid w:val="00C21D1F"/>
    <w:rsid w:val="00C239F1"/>
    <w:rsid w:val="00C36F0C"/>
    <w:rsid w:val="00C36F5A"/>
    <w:rsid w:val="00C51F70"/>
    <w:rsid w:val="00C53DE1"/>
    <w:rsid w:val="00C639ED"/>
    <w:rsid w:val="00C7412C"/>
    <w:rsid w:val="00CA7141"/>
    <w:rsid w:val="00CC28C1"/>
    <w:rsid w:val="00CC52B6"/>
    <w:rsid w:val="00CC7C2A"/>
    <w:rsid w:val="00CE1CFD"/>
    <w:rsid w:val="00CF35C7"/>
    <w:rsid w:val="00CF3794"/>
    <w:rsid w:val="00CF44D0"/>
    <w:rsid w:val="00CF4F63"/>
    <w:rsid w:val="00CF744D"/>
    <w:rsid w:val="00D007DF"/>
    <w:rsid w:val="00D12807"/>
    <w:rsid w:val="00D155CC"/>
    <w:rsid w:val="00D20948"/>
    <w:rsid w:val="00D213D8"/>
    <w:rsid w:val="00D26095"/>
    <w:rsid w:val="00D33B5C"/>
    <w:rsid w:val="00D41B19"/>
    <w:rsid w:val="00D437F3"/>
    <w:rsid w:val="00D4701F"/>
    <w:rsid w:val="00D53054"/>
    <w:rsid w:val="00D64FB3"/>
    <w:rsid w:val="00D8061E"/>
    <w:rsid w:val="00D831CB"/>
    <w:rsid w:val="00D86BB8"/>
    <w:rsid w:val="00DA6D20"/>
    <w:rsid w:val="00DB032D"/>
    <w:rsid w:val="00DD3863"/>
    <w:rsid w:val="00DE12FA"/>
    <w:rsid w:val="00E020E1"/>
    <w:rsid w:val="00E024DC"/>
    <w:rsid w:val="00E05238"/>
    <w:rsid w:val="00E05262"/>
    <w:rsid w:val="00E26486"/>
    <w:rsid w:val="00E31C3E"/>
    <w:rsid w:val="00E40D8A"/>
    <w:rsid w:val="00E50055"/>
    <w:rsid w:val="00E50A2C"/>
    <w:rsid w:val="00E516F7"/>
    <w:rsid w:val="00E568E5"/>
    <w:rsid w:val="00E624C3"/>
    <w:rsid w:val="00E74635"/>
    <w:rsid w:val="00ED01A2"/>
    <w:rsid w:val="00ED123C"/>
    <w:rsid w:val="00ED6BC4"/>
    <w:rsid w:val="00EF214F"/>
    <w:rsid w:val="00EF64D5"/>
    <w:rsid w:val="00F00C0B"/>
    <w:rsid w:val="00F10FE1"/>
    <w:rsid w:val="00F114E8"/>
    <w:rsid w:val="00F155DA"/>
    <w:rsid w:val="00F262C9"/>
    <w:rsid w:val="00F34F52"/>
    <w:rsid w:val="00F42320"/>
    <w:rsid w:val="00F449DF"/>
    <w:rsid w:val="00F455F1"/>
    <w:rsid w:val="00F55E37"/>
    <w:rsid w:val="00F6318E"/>
    <w:rsid w:val="00F71B82"/>
    <w:rsid w:val="00F765C7"/>
    <w:rsid w:val="00F82423"/>
    <w:rsid w:val="00F86322"/>
    <w:rsid w:val="00FA4CF5"/>
    <w:rsid w:val="00FA7B9F"/>
    <w:rsid w:val="00FC2C36"/>
    <w:rsid w:val="00FC3FBE"/>
    <w:rsid w:val="00FD155C"/>
    <w:rsid w:val="00FE11D7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CBD4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customStyle="1" w:styleId="ConsPlusNonformat">
    <w:name w:val="ConsPlusNonformat"/>
    <w:uiPriority w:val="99"/>
    <w:qFormat/>
    <w:rsid w:val="00AC3831"/>
    <w:pPr>
      <w:widowControl w:val="0"/>
      <w:autoSpaceDE w:val="0"/>
      <w:autoSpaceDN w:val="0"/>
      <w:adjustRightInd w:val="0"/>
      <w:spacing w:after="160" w:line="259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d">
    <w:name w:val="Hyperlink"/>
    <w:uiPriority w:val="99"/>
    <w:unhideWhenUsed/>
    <w:rsid w:val="00256555"/>
    <w:rPr>
      <w:color w:val="0000FF"/>
      <w:u w:val="single"/>
    </w:rPr>
  </w:style>
  <w:style w:type="paragraph" w:styleId="ae">
    <w:name w:val="Normal (Web)"/>
    <w:basedOn w:val="a"/>
    <w:uiPriority w:val="99"/>
    <w:semiHidden/>
    <w:unhideWhenUsed/>
    <w:rsid w:val="007249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4323CE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ED6BC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7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9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catalog.muzgeo.ru/" TargetMode="External"/><Relationship Id="rId18" Type="http://schemas.openxmlformats.org/officeDocument/2006/relationships/image" Target="media/image5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mailto:konkurs@muzgeo.ru" TargetMode="External"/><Relationship Id="rId17" Type="http://schemas.openxmlformats.org/officeDocument/2006/relationships/image" Target="media/image4.emf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orms.gle/GQN236it8R69cu2Z7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23" Type="http://schemas.openxmlformats.org/officeDocument/2006/relationships/fontTable" Target="fontTable.xml"/><Relationship Id="rId10" Type="http://schemas.openxmlformats.org/officeDocument/2006/relationships/hyperlink" Target="http://catalog.muzgeo.ru/" TargetMode="External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hyperlink" Target="http://catalog.muzgeo.ru/" TargetMode="External"/><Relationship Id="rId14" Type="http://schemas.openxmlformats.org/officeDocument/2006/relationships/hyperlink" Target="https://forms.gle/qWxEEkGGVrjWNWuL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C26FF6-674F-427D-89C0-43F94E8BA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3457</Words>
  <Characters>19709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2025-03-12T05:52:00Z</dcterms:created>
  <dcterms:modified xsi:type="dcterms:W3CDTF">2025-03-14T04:48:00Z</dcterms:modified>
</cp:coreProperties>
</file>