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E654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E654C" w:rsidRDefault="005A743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54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654C" w:rsidRDefault="005A7438">
            <w:pPr>
              <w:pStyle w:val="ConsPlusTitlePage0"/>
              <w:jc w:val="center"/>
            </w:pPr>
            <w:r>
              <w:rPr>
                <w:sz w:val="38"/>
              </w:rPr>
              <w:t>Постановление Губернатора ХМАО - Югры от 18.02.2014 N 15</w:t>
            </w:r>
            <w:r>
              <w:rPr>
                <w:sz w:val="38"/>
              </w:rPr>
              <w:br/>
              <w:t>(ред. от 25.12.2015)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"Об утверждении Положения о 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</w:t>
            </w:r>
            <w:r>
              <w:rPr>
                <w:sz w:val="38"/>
              </w:rPr>
              <w:t xml:space="preserve">ношении которых Ханты-Мансийский автономный округ - Югра выступает единственным учредителем,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      </w:r>
            <w:r>
              <w:rPr>
                <w:sz w:val="38"/>
              </w:rPr>
              <w:t>ими служебных (должностных) обязанностей, сдаче и оценке подарка, реализации (выкупе) и зачислении средств, вырученных от его реализации"</w:t>
            </w:r>
          </w:p>
        </w:tc>
      </w:tr>
      <w:tr w:rsidR="009E654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654C" w:rsidRDefault="005A743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9E654C" w:rsidRDefault="009E654C">
      <w:pPr>
        <w:pStyle w:val="ConsPlusNormal0"/>
        <w:sectPr w:rsidR="009E654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E654C" w:rsidRDefault="009E654C">
      <w:pPr>
        <w:pStyle w:val="ConsPlusNormal0"/>
        <w:outlineLvl w:val="0"/>
      </w:pPr>
    </w:p>
    <w:p w:rsidR="009E654C" w:rsidRDefault="005A7438">
      <w:pPr>
        <w:pStyle w:val="ConsPlusTitle0"/>
        <w:jc w:val="center"/>
        <w:outlineLvl w:val="0"/>
      </w:pPr>
      <w:r>
        <w:t>ГУБЕРНАТОР ХАНТЫ-МАНСИЙСКОГО АВТОНОМНОГО ОКРУГА - ЮГРЫ</w:t>
      </w:r>
    </w:p>
    <w:p w:rsidR="009E654C" w:rsidRDefault="009E654C">
      <w:pPr>
        <w:pStyle w:val="ConsPlusTitle0"/>
        <w:jc w:val="center"/>
      </w:pPr>
    </w:p>
    <w:p w:rsidR="009E654C" w:rsidRDefault="005A7438">
      <w:pPr>
        <w:pStyle w:val="ConsPlusTitle0"/>
        <w:jc w:val="center"/>
      </w:pPr>
      <w:r>
        <w:t>ПОСТАНОВЛЕНИЕ</w:t>
      </w:r>
    </w:p>
    <w:p w:rsidR="009E654C" w:rsidRDefault="005A7438">
      <w:pPr>
        <w:pStyle w:val="ConsPlusTitle0"/>
        <w:jc w:val="center"/>
      </w:pPr>
      <w:r>
        <w:t>от 18 февраля 2014 г. N 15</w:t>
      </w:r>
    </w:p>
    <w:p w:rsidR="009E654C" w:rsidRDefault="009E654C">
      <w:pPr>
        <w:pStyle w:val="ConsPlusTitle0"/>
        <w:jc w:val="center"/>
      </w:pPr>
    </w:p>
    <w:p w:rsidR="009E654C" w:rsidRDefault="005A7438">
      <w:pPr>
        <w:pStyle w:val="ConsPlusTitle0"/>
        <w:jc w:val="center"/>
      </w:pPr>
      <w:r>
        <w:t>ОБ УТВЕРЖДЕНИИ ПОЛОЖЕНИЯ О СООБЩЕНИИ ЛИЦАМИ,</w:t>
      </w:r>
    </w:p>
    <w:p w:rsidR="009E654C" w:rsidRDefault="005A7438">
      <w:pPr>
        <w:pStyle w:val="ConsPlusTitle0"/>
        <w:jc w:val="center"/>
      </w:pPr>
      <w:r>
        <w:t>ЗАМЕЩАЮЩИМИ ГОСУДАРСТВЕННЫЕ ДОЛЖНОСТИ ХАНТЫ-МАНСИЙСКОГО</w:t>
      </w:r>
    </w:p>
    <w:p w:rsidR="009E654C" w:rsidRDefault="005A7438">
      <w:pPr>
        <w:pStyle w:val="ConsPlusTitle0"/>
        <w:jc w:val="center"/>
      </w:pPr>
      <w:r>
        <w:t>АВТОНОМНОГО ОКРУГА - ЮГРЫ, ДОЛЖНОСТИ ГОСУДАРСТВЕННОЙ</w:t>
      </w:r>
    </w:p>
    <w:p w:rsidR="009E654C" w:rsidRDefault="005A7438">
      <w:pPr>
        <w:pStyle w:val="ConsPlusTitle0"/>
        <w:jc w:val="center"/>
      </w:pPr>
      <w:r>
        <w:t>ГРАЖДАНСКОЙ СЛУЖБЫ ХАНТЫ-МАНСИЙСКОГО АВТОНОМНОГО</w:t>
      </w:r>
    </w:p>
    <w:p w:rsidR="009E654C" w:rsidRDefault="005A7438">
      <w:pPr>
        <w:pStyle w:val="ConsPlusTitle0"/>
        <w:jc w:val="center"/>
      </w:pPr>
      <w:r>
        <w:t>ОКРУГА - ЮГРЫ, А ТАКЖЕ РАБОТНИКАМИ ОРГАНИЗАЦИЙ,</w:t>
      </w:r>
    </w:p>
    <w:p w:rsidR="009E654C" w:rsidRDefault="005A7438">
      <w:pPr>
        <w:pStyle w:val="ConsPlusTitle0"/>
        <w:jc w:val="center"/>
      </w:pPr>
      <w:r>
        <w:t>В ОТН</w:t>
      </w:r>
      <w:r>
        <w:t>ОШЕНИИ КОТОРЫХ ХАНТЫ-МАНСИЙСКИЙ АВТОНОМНЫЙ</w:t>
      </w:r>
    </w:p>
    <w:p w:rsidR="009E654C" w:rsidRDefault="005A7438">
      <w:pPr>
        <w:pStyle w:val="ConsPlusTitle0"/>
        <w:jc w:val="center"/>
      </w:pPr>
      <w:r>
        <w:t>ОКРУГ - ЮГРА ВЫСТУПАЕТ ЕДИНСТВЕННЫМ УЧРЕДИТЕЛЕМ,</w:t>
      </w:r>
    </w:p>
    <w:p w:rsidR="009E654C" w:rsidRDefault="005A7438">
      <w:pPr>
        <w:pStyle w:val="ConsPlusTitle0"/>
        <w:jc w:val="center"/>
      </w:pPr>
      <w:r>
        <w:t>О ПОЛУЧЕНИИ ПОДАРКА В СВЯЗИ С ПРОТОКОЛЬНЫМИ МЕРОПРИЯТИЯМИ,</w:t>
      </w:r>
    </w:p>
    <w:p w:rsidR="009E654C" w:rsidRDefault="005A7438">
      <w:pPr>
        <w:pStyle w:val="ConsPlusTitle0"/>
        <w:jc w:val="center"/>
      </w:pPr>
      <w:r>
        <w:t>СЛУЖЕБНЫМИ КОМАНДИРОВКАМИ И ДРУГИМИ ОФИЦИАЛЬНЫМИ</w:t>
      </w:r>
    </w:p>
    <w:p w:rsidR="009E654C" w:rsidRDefault="005A7438">
      <w:pPr>
        <w:pStyle w:val="ConsPlusTitle0"/>
        <w:jc w:val="center"/>
      </w:pPr>
      <w:r>
        <w:t>МЕРОПРИЯТИЯМИ, УЧАСТИЕ В КОТОРЫХ СВЯЗАНО С ИСПОЛНЕНИЕМ</w:t>
      </w:r>
    </w:p>
    <w:p w:rsidR="009E654C" w:rsidRDefault="005A7438">
      <w:pPr>
        <w:pStyle w:val="ConsPlusTitle0"/>
        <w:jc w:val="center"/>
      </w:pPr>
      <w:r>
        <w:t>ИМИ СЛУЖЕБНЫХ (ДОЛЖНОСТНЫХ) ОБЯЗАННОСТЕЙ, СДАЧЕ</w:t>
      </w:r>
    </w:p>
    <w:p w:rsidR="009E654C" w:rsidRDefault="005A7438">
      <w:pPr>
        <w:pStyle w:val="ConsPlusTitle0"/>
        <w:jc w:val="center"/>
      </w:pPr>
      <w:r>
        <w:t>И ОЦЕНКЕ ПОДАРКА, РЕАЛИЗАЦИИ (ВЫКУПЕ) И ЗАЧИСЛЕНИИ</w:t>
      </w:r>
    </w:p>
    <w:p w:rsidR="009E654C" w:rsidRDefault="005A7438">
      <w:pPr>
        <w:pStyle w:val="ConsPlusTitle0"/>
        <w:jc w:val="center"/>
      </w:pPr>
      <w:r>
        <w:t>СРЕДСТВ, ВЫРУЧЕННЫХ ОТ ЕГО РЕАЛИЗАЦИИ</w:t>
      </w:r>
    </w:p>
    <w:p w:rsidR="009E654C" w:rsidRDefault="009E65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E65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54C" w:rsidRDefault="005A74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654C" w:rsidRDefault="005A74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25.12.2015 N 167)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</w:tr>
    </w:tbl>
    <w:p w:rsidR="009E654C" w:rsidRDefault="009E654C">
      <w:pPr>
        <w:pStyle w:val="ConsPlusNormal0"/>
        <w:jc w:val="center"/>
      </w:pPr>
    </w:p>
    <w:p w:rsidR="009E654C" w:rsidRDefault="005A7438">
      <w:pPr>
        <w:pStyle w:val="ConsPlusNormal0"/>
        <w:ind w:firstLine="540"/>
        <w:jc w:val="both"/>
      </w:pPr>
      <w:r>
        <w:t xml:space="preserve">Руководствуясь </w:t>
      </w:r>
      <w:hyperlink r:id="rId10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года N 10 "О порядке сообщения отдельными категориями лиц о полу</w:t>
      </w:r>
      <w:r>
        <w:t>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постановляю:</w:t>
      </w:r>
    </w:p>
    <w:p w:rsidR="009E654C" w:rsidRDefault="005A7438">
      <w:pPr>
        <w:pStyle w:val="ConsPlusNormal0"/>
        <w:jc w:val="both"/>
      </w:pPr>
      <w:r>
        <w:t xml:space="preserve">(преамбула в ред. </w:t>
      </w:r>
      <w:hyperlink r:id="rId11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<w:r>
          <w:rPr>
            <w:color w:val="0000FF"/>
          </w:rPr>
          <w:t>постановления</w:t>
        </w:r>
      </w:hyperlink>
      <w:r>
        <w:t xml:space="preserve"> Губернатора ХМАО - Югры от 25.12.2015 N 167)</w:t>
      </w:r>
    </w:p>
    <w:p w:rsidR="009E654C" w:rsidRDefault="005A7438">
      <w:pPr>
        <w:pStyle w:val="ConsPlusNormal0"/>
        <w:spacing w:before="240"/>
        <w:ind w:firstLine="540"/>
        <w:jc w:val="both"/>
      </w:pPr>
      <w:bookmarkStart w:id="1" w:name="P24"/>
      <w:bookmarkEnd w:id="1"/>
      <w:r>
        <w:t xml:space="preserve">1. Утвердить </w:t>
      </w:r>
      <w:hyperlink w:anchor="P44" w:tooltip="ПОЛОЖЕНИЕ">
        <w:r>
          <w:rPr>
            <w:color w:val="0000FF"/>
          </w:rPr>
          <w:t>Положение</w:t>
        </w:r>
      </w:hyperlink>
      <w:r>
        <w:t xml:space="preserve"> о сообщении лицами, з</w:t>
      </w:r>
      <w:r>
        <w:t>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отношении которых Ханты-Мансийский автономный окр</w:t>
      </w:r>
      <w:r>
        <w:t>уг - Югра выступает единственным учредителем,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</w:t>
      </w:r>
      <w:r>
        <w:t xml:space="preserve"> и оценке подарка, реализации (выкупе) и зачислении средств, вырученных от его реализации (прилагается).</w:t>
      </w:r>
    </w:p>
    <w:p w:rsidR="009E654C" w:rsidRDefault="005A7438">
      <w:pPr>
        <w:pStyle w:val="ConsPlusNormal0"/>
        <w:jc w:val="both"/>
      </w:pPr>
      <w:r>
        <w:t xml:space="preserve">(в ред. </w:t>
      </w:r>
      <w:hyperlink r:id="rId12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<w:r>
          <w:rPr>
            <w:color w:val="0000FF"/>
          </w:rPr>
          <w:t>постановления</w:t>
        </w:r>
      </w:hyperlink>
      <w:r>
        <w:t xml:space="preserve"> Губернатора ХМАО - Югры от 25.12.2015 N 167)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 xml:space="preserve">2. Установить, что органы государственной власти Ханты-Мансийского автономного округа - Югры осуществляют прием подарков, полученных лицами, указанными в </w:t>
      </w:r>
      <w:hyperlink w:anchor="P24" w:tooltip="1. Утвердить Положение о 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ношении">
        <w:r>
          <w:rPr>
            <w:color w:val="0000FF"/>
          </w:rPr>
          <w:t xml:space="preserve">пункте </w:t>
        </w:r>
        <w:r>
          <w:rPr>
            <w:color w:val="0000FF"/>
          </w:rPr>
          <w:t>1</w:t>
        </w:r>
      </w:hyperlink>
      <w:r>
        <w:t>,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принимают решения о реализации указанных подарков.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lastRenderedPageBreak/>
        <w:t>3. Рекомендовать органам местного самоуправл</w:t>
      </w:r>
      <w:r>
        <w:t>ения муниципальных образований Ханты-Мансийского автономного округа - Югры принять соответствующие нормативные правовые акты.</w:t>
      </w:r>
    </w:p>
    <w:p w:rsidR="009E654C" w:rsidRDefault="009E654C">
      <w:pPr>
        <w:pStyle w:val="ConsPlusNormal0"/>
        <w:jc w:val="both"/>
      </w:pPr>
    </w:p>
    <w:p w:rsidR="009E654C" w:rsidRDefault="005A7438">
      <w:pPr>
        <w:pStyle w:val="ConsPlusNormal0"/>
        <w:jc w:val="right"/>
      </w:pPr>
      <w:r>
        <w:t>Губернатор</w:t>
      </w:r>
    </w:p>
    <w:p w:rsidR="009E654C" w:rsidRDefault="005A7438">
      <w:pPr>
        <w:pStyle w:val="ConsPlusNormal0"/>
        <w:jc w:val="right"/>
      </w:pPr>
      <w:r>
        <w:t>Ханты-Мансийского</w:t>
      </w:r>
    </w:p>
    <w:p w:rsidR="009E654C" w:rsidRDefault="005A7438">
      <w:pPr>
        <w:pStyle w:val="ConsPlusNormal0"/>
        <w:jc w:val="right"/>
      </w:pPr>
      <w:r>
        <w:t>автономного округа - Югры</w:t>
      </w:r>
    </w:p>
    <w:p w:rsidR="009E654C" w:rsidRDefault="005A7438">
      <w:pPr>
        <w:pStyle w:val="ConsPlusNormal0"/>
        <w:jc w:val="right"/>
      </w:pPr>
      <w:r>
        <w:t>Н.В.КОМАРОВА</w:t>
      </w:r>
    </w:p>
    <w:p w:rsidR="009E654C" w:rsidRDefault="009E654C">
      <w:pPr>
        <w:pStyle w:val="ConsPlusNormal0"/>
      </w:pPr>
    </w:p>
    <w:p w:rsidR="009E654C" w:rsidRDefault="009E654C">
      <w:pPr>
        <w:pStyle w:val="ConsPlusNormal0"/>
      </w:pPr>
    </w:p>
    <w:p w:rsidR="009E654C" w:rsidRDefault="009E654C">
      <w:pPr>
        <w:pStyle w:val="ConsPlusNormal0"/>
      </w:pPr>
    </w:p>
    <w:p w:rsidR="009E654C" w:rsidRDefault="009E654C">
      <w:pPr>
        <w:pStyle w:val="ConsPlusNormal0"/>
      </w:pPr>
    </w:p>
    <w:p w:rsidR="009E654C" w:rsidRDefault="009E654C">
      <w:pPr>
        <w:pStyle w:val="ConsPlusNormal0"/>
      </w:pPr>
    </w:p>
    <w:p w:rsidR="009E654C" w:rsidRDefault="005A7438">
      <w:pPr>
        <w:pStyle w:val="ConsPlusNormal0"/>
        <w:jc w:val="right"/>
        <w:outlineLvl w:val="0"/>
      </w:pPr>
      <w:r>
        <w:t>Приложение</w:t>
      </w:r>
    </w:p>
    <w:p w:rsidR="009E654C" w:rsidRDefault="005A7438">
      <w:pPr>
        <w:pStyle w:val="ConsPlusNormal0"/>
        <w:jc w:val="right"/>
      </w:pPr>
      <w:r>
        <w:t>к постановлению Губернатора</w:t>
      </w:r>
    </w:p>
    <w:p w:rsidR="009E654C" w:rsidRDefault="005A7438">
      <w:pPr>
        <w:pStyle w:val="ConsPlusNormal0"/>
        <w:jc w:val="right"/>
      </w:pPr>
      <w:r>
        <w:t>Ханты-Мансийского</w:t>
      </w:r>
    </w:p>
    <w:p w:rsidR="009E654C" w:rsidRDefault="005A7438">
      <w:pPr>
        <w:pStyle w:val="ConsPlusNormal0"/>
        <w:jc w:val="right"/>
      </w:pPr>
      <w:r>
        <w:t>автономного округа - Югры</w:t>
      </w:r>
    </w:p>
    <w:p w:rsidR="009E654C" w:rsidRDefault="005A7438">
      <w:pPr>
        <w:pStyle w:val="ConsPlusNormal0"/>
        <w:jc w:val="right"/>
      </w:pPr>
      <w:r>
        <w:t>от 18 февраля 2014 года N 15</w:t>
      </w:r>
    </w:p>
    <w:p w:rsidR="009E654C" w:rsidRDefault="009E654C">
      <w:pPr>
        <w:pStyle w:val="ConsPlusNormal0"/>
      </w:pPr>
    </w:p>
    <w:p w:rsidR="009E654C" w:rsidRDefault="005A7438">
      <w:pPr>
        <w:pStyle w:val="ConsPlusTitle0"/>
        <w:jc w:val="center"/>
      </w:pPr>
      <w:bookmarkStart w:id="2" w:name="P44"/>
      <w:bookmarkEnd w:id="2"/>
      <w:r>
        <w:t>ПОЛОЖЕНИЕ</w:t>
      </w:r>
    </w:p>
    <w:p w:rsidR="009E654C" w:rsidRDefault="005A7438">
      <w:pPr>
        <w:pStyle w:val="ConsPlusTitle0"/>
        <w:jc w:val="center"/>
      </w:pPr>
      <w:r>
        <w:t>О СООБЩЕНИИ ЛИЦАМИ, ЗАМЕЩАЮЩИМИ ГОСУДАРСТВЕННЫЕ ДОЛЖНОСТИ</w:t>
      </w:r>
    </w:p>
    <w:p w:rsidR="009E654C" w:rsidRDefault="005A7438">
      <w:pPr>
        <w:pStyle w:val="ConsPlusTitle0"/>
        <w:jc w:val="center"/>
      </w:pPr>
      <w:r>
        <w:t>ХАНТЫ-МАНСИЙСКОГО АВТОНОМНОГО ОКРУГА - ЮГРЫ, ДОЛЖНОСТИ</w:t>
      </w:r>
    </w:p>
    <w:p w:rsidR="009E654C" w:rsidRDefault="005A7438">
      <w:pPr>
        <w:pStyle w:val="ConsPlusTitle0"/>
        <w:jc w:val="center"/>
      </w:pPr>
      <w:r>
        <w:t>ГОСУДАРСТВЕННОЙ ГРАЖДАНСКОЙ СЛУЖБЫ ХАНТЫ-МАНСИЙСКОГО</w:t>
      </w:r>
    </w:p>
    <w:p w:rsidR="009E654C" w:rsidRDefault="005A7438">
      <w:pPr>
        <w:pStyle w:val="ConsPlusTitle0"/>
        <w:jc w:val="center"/>
      </w:pPr>
      <w:r>
        <w:t>АВТОНОМНОГО ОКРУГА - ЮГ</w:t>
      </w:r>
      <w:r>
        <w:t>РЫ, А ТАКЖЕ РАБОТНИКАМИ ОРГАНИЗАЦИЙ,</w:t>
      </w:r>
    </w:p>
    <w:p w:rsidR="009E654C" w:rsidRDefault="005A7438">
      <w:pPr>
        <w:pStyle w:val="ConsPlusTitle0"/>
        <w:jc w:val="center"/>
      </w:pPr>
      <w:r>
        <w:t>В ОТНОШЕНИИ КОТОРЫХ ХАНТЫ-МАНСИЙСКИЙ АВТОНОМНЫЙ</w:t>
      </w:r>
    </w:p>
    <w:p w:rsidR="009E654C" w:rsidRDefault="005A7438">
      <w:pPr>
        <w:pStyle w:val="ConsPlusTitle0"/>
        <w:jc w:val="center"/>
      </w:pPr>
      <w:r>
        <w:t>ОКРУГ - ЮГРА ВЫСТУПАЕТ ЕДИНСТВЕННЫМ УЧРЕДИТЕЛЕМ,</w:t>
      </w:r>
    </w:p>
    <w:p w:rsidR="009E654C" w:rsidRDefault="005A7438">
      <w:pPr>
        <w:pStyle w:val="ConsPlusTitle0"/>
        <w:jc w:val="center"/>
      </w:pPr>
      <w:r>
        <w:t>О ПОЛУЧЕНИИ ПОДАРКА В СВЯЗИ С ПРОТОКОЛЬНЫМИ МЕРОПРИЯТИЯМИ,</w:t>
      </w:r>
    </w:p>
    <w:p w:rsidR="009E654C" w:rsidRDefault="005A7438">
      <w:pPr>
        <w:pStyle w:val="ConsPlusTitle0"/>
        <w:jc w:val="center"/>
      </w:pPr>
      <w:r>
        <w:t>СЛУЖЕБНЫМИ КОМАНДИРОВКАМИ И ДРУГИМИ ОФИЦИАЛЬНЫМИ</w:t>
      </w:r>
    </w:p>
    <w:p w:rsidR="009E654C" w:rsidRDefault="005A7438">
      <w:pPr>
        <w:pStyle w:val="ConsPlusTitle0"/>
        <w:jc w:val="center"/>
      </w:pPr>
      <w:r>
        <w:t>МЕРОПРИЯТИЯМИ,</w:t>
      </w:r>
      <w:r>
        <w:t xml:space="preserve"> УЧАСТИЕ В КОТОРЫХ СВЯЗАНО С ИСПОЛНЕНИЕМ</w:t>
      </w:r>
    </w:p>
    <w:p w:rsidR="009E654C" w:rsidRDefault="005A7438">
      <w:pPr>
        <w:pStyle w:val="ConsPlusTitle0"/>
        <w:jc w:val="center"/>
      </w:pPr>
      <w:r>
        <w:t>ИМИ СЛУЖЕБНЫХ (ДОЛЖНОСТНЫХ) ОБЯЗАННОСТЕЙ, СДАЧЕ</w:t>
      </w:r>
    </w:p>
    <w:p w:rsidR="009E654C" w:rsidRDefault="005A7438">
      <w:pPr>
        <w:pStyle w:val="ConsPlusTitle0"/>
        <w:jc w:val="center"/>
      </w:pPr>
      <w:r>
        <w:t>И ОЦЕНКЕ ПОДАРКА, РЕАЛИЗАЦИИ (ВЫКУПЕ) И ЗАЧИСЛЕНИИ</w:t>
      </w:r>
    </w:p>
    <w:p w:rsidR="009E654C" w:rsidRDefault="005A7438">
      <w:pPr>
        <w:pStyle w:val="ConsPlusTitle0"/>
        <w:jc w:val="center"/>
      </w:pPr>
      <w:r>
        <w:t>СРЕДСТВ, ВЫРУЧЕННЫХ ОТ ЕГО РЕАЛИЗАЦИИ</w:t>
      </w:r>
    </w:p>
    <w:p w:rsidR="009E654C" w:rsidRDefault="009E65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E65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54C" w:rsidRDefault="005A74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654C" w:rsidRDefault="005A74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25.12.2015 N 167)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</w:tr>
    </w:tbl>
    <w:p w:rsidR="009E654C" w:rsidRDefault="009E654C">
      <w:pPr>
        <w:pStyle w:val="ConsPlusNormal0"/>
      </w:pPr>
    </w:p>
    <w:p w:rsidR="009E654C" w:rsidRDefault="005A7438">
      <w:pPr>
        <w:pStyle w:val="ConsPlusNormal0"/>
        <w:ind w:firstLine="540"/>
        <w:jc w:val="both"/>
      </w:pPr>
      <w:r>
        <w:t>1. Настоящее Положение определяет порядок сообщения лицами, замещающими государственные должности Ханты-Мансийского автономного округа - Югры, государственными гражданскими служащими Ханты-Мансийского автономного округа - Югры, а также работниками организа</w:t>
      </w:r>
      <w:r>
        <w:t>ций, в отношении которых Ханты-Мансийский автономный округ - Югра выступает единственным учредителем (далее соответственно - лица, замещающие государственные должности, гражданские служащие, работники), о получении подарка в связи с протокольными мероприят</w:t>
      </w:r>
      <w:r>
        <w:t>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9E654C" w:rsidRDefault="005A7438">
      <w:pPr>
        <w:pStyle w:val="ConsPlusNormal0"/>
        <w:jc w:val="both"/>
      </w:pPr>
      <w:r>
        <w:t xml:space="preserve">(в ред. </w:t>
      </w:r>
      <w:hyperlink r:id="rId14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<w:r>
          <w:rPr>
            <w:color w:val="0000FF"/>
          </w:rPr>
          <w:t>постановления</w:t>
        </w:r>
      </w:hyperlink>
      <w:r>
        <w:t xml:space="preserve"> Губернатора ХМАО - Югры от 25.12.2015 N 167)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lastRenderedPageBreak/>
        <w:t xml:space="preserve">2. Для целей настоящего Положения используются следующие </w:t>
      </w:r>
      <w:r>
        <w:t>понятия: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государственную должность, гражданским служащим, работником от физических (юридичес</w:t>
      </w:r>
      <w:r>
        <w:t>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</w:t>
      </w:r>
      <w:r>
        <w:t>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"получение подарка в связи с проток</w:t>
      </w:r>
      <w:r>
        <w:t>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государственную должность, гражданским служащим, работником л</w:t>
      </w:r>
      <w:r>
        <w:t>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</w:t>
      </w:r>
      <w:r>
        <w:t>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E654C" w:rsidRDefault="005A7438">
      <w:pPr>
        <w:pStyle w:val="ConsPlusNormal0"/>
        <w:jc w:val="both"/>
      </w:pPr>
      <w:r>
        <w:t xml:space="preserve">(в ред. </w:t>
      </w:r>
      <w:hyperlink r:id="rId15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<w:r>
          <w:rPr>
            <w:color w:val="0000FF"/>
          </w:rPr>
          <w:t>постановления</w:t>
        </w:r>
      </w:hyperlink>
      <w:r>
        <w:t xml:space="preserve"> Губернатора ХМАО - Югры от 25.12.2015 N 167)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3. Лица, замещающие государственные должности, гражданские служащие, работники не вправе получать подарки от физических (юридических</w:t>
      </w:r>
      <w:r>
        <w:t>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</w:t>
      </w:r>
      <w:r>
        <w:t xml:space="preserve"> связано с исполнением ими служебных (должностных) обязанностей.</w:t>
      </w:r>
    </w:p>
    <w:p w:rsidR="009E654C" w:rsidRDefault="005A7438">
      <w:pPr>
        <w:pStyle w:val="ConsPlusNormal0"/>
        <w:jc w:val="both"/>
      </w:pPr>
      <w:r>
        <w:t xml:space="preserve">(в ред. </w:t>
      </w:r>
      <w:hyperlink r:id="rId16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<w:r>
          <w:rPr>
            <w:color w:val="0000FF"/>
          </w:rPr>
          <w:t>постановления</w:t>
        </w:r>
      </w:hyperlink>
      <w:r>
        <w:t xml:space="preserve"> Губернатора ХМАО - Югры от 25.12.2015 N 167)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4. Лица, замещающие государственные должности, гражданские служащие</w:t>
      </w:r>
      <w:r>
        <w:t>, работники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</w:t>
      </w:r>
      <w:r>
        <w:t>м ими служебных (должностных) обязанностей орган государственной власти Ханты-Мансийского автономного округа - Югры (далее - орган государственной власти) или в организацию, в отношении которой Ханты-Мансийский автономный округ - Югра выступает единственны</w:t>
      </w:r>
      <w:r>
        <w:t>м учредителем (далее - организация), в которых указанные лица проходят государственную службу или осуществляют трудовую деятельность.</w:t>
      </w:r>
    </w:p>
    <w:p w:rsidR="009E654C" w:rsidRDefault="005A7438">
      <w:pPr>
        <w:pStyle w:val="ConsPlusNormal0"/>
        <w:jc w:val="both"/>
      </w:pPr>
      <w:r>
        <w:t xml:space="preserve">(в ред. </w:t>
      </w:r>
      <w:hyperlink r:id="rId17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<w:r>
          <w:rPr>
            <w:color w:val="0000FF"/>
          </w:rPr>
          <w:t>постановления</w:t>
        </w:r>
      </w:hyperlink>
      <w:r>
        <w:t xml:space="preserve"> Губернатора ХМАО - Югры от 25.12.2015 N 167)</w:t>
      </w:r>
    </w:p>
    <w:p w:rsidR="009E654C" w:rsidRDefault="005A7438">
      <w:pPr>
        <w:pStyle w:val="ConsPlusNormal0"/>
        <w:spacing w:before="240"/>
        <w:ind w:firstLine="540"/>
        <w:jc w:val="both"/>
      </w:pPr>
      <w:bookmarkStart w:id="3" w:name="P70"/>
      <w:bookmarkEnd w:id="3"/>
      <w:r>
        <w:t xml:space="preserve">5. </w:t>
      </w:r>
      <w:hyperlink w:anchor="P115" w:tooltip="УВЕДОМЛЕНИЕ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</w:t>
      </w:r>
      <w:r>
        <w:t>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органа гос</w:t>
      </w:r>
      <w:r>
        <w:t xml:space="preserve">ударственной власти или организации, в которых лицо, замещающее государственную должность, гражданский служащий, работник </w:t>
      </w:r>
      <w:r>
        <w:lastRenderedPageBreak/>
        <w:t xml:space="preserve">проходят государственную службу или осуществляют трудовую деятельность (далее - уполномоченное структурное подразделение). К </w:t>
      </w:r>
      <w:hyperlink w:anchor="P115" w:tooltip="УВЕДОМЛЕНИЕ">
        <w:r>
          <w:rPr>
            <w:color w:val="0000FF"/>
          </w:rPr>
          <w:t>уведомлению</w:t>
        </w:r>
      </w:hyperlink>
      <w: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E654C" w:rsidRDefault="005A7438">
      <w:pPr>
        <w:pStyle w:val="ConsPlusNormal0"/>
        <w:jc w:val="both"/>
      </w:pPr>
      <w:r>
        <w:t xml:space="preserve">(в ред. </w:t>
      </w:r>
      <w:hyperlink r:id="rId18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<w:r>
          <w:rPr>
            <w:color w:val="0000FF"/>
          </w:rPr>
          <w:t>постановления</w:t>
        </w:r>
      </w:hyperlink>
      <w:r>
        <w:t xml:space="preserve"> Губернатора ХМАО - Югры от 25.12.2015 N 167)</w:t>
      </w:r>
    </w:p>
    <w:p w:rsidR="009E654C" w:rsidRDefault="005A7438">
      <w:pPr>
        <w:pStyle w:val="ConsPlusNormal0"/>
        <w:spacing w:before="240"/>
        <w:ind w:firstLine="540"/>
        <w:jc w:val="both"/>
      </w:pPr>
      <w:bookmarkStart w:id="4" w:name="P72"/>
      <w:bookmarkEnd w:id="4"/>
      <w:r>
        <w:t>В случае если подарок получен во время служебной командировки, уведомление представляется не позднее 3 рабочих дней</w:t>
      </w:r>
      <w:r>
        <w:t xml:space="preserve"> со дня возвращения лица, получившего подарок, из служебной командировки.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70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">
        <w:r>
          <w:rPr>
            <w:color w:val="0000FF"/>
          </w:rPr>
          <w:t>абзацах первом</w:t>
        </w:r>
      </w:hyperlink>
      <w:r>
        <w:t xml:space="preserve"> и </w:t>
      </w:r>
      <w:hyperlink w:anchor="P72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государственную должность, гражданс</w:t>
      </w:r>
      <w:r>
        <w:t>кого служащего, работника, оно представляется не позднее следующего дня после ее устранения.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</w:t>
      </w:r>
      <w:r>
        <w:t xml:space="preserve"> в комиссию по поступлению и выбытию активов органа государственной власти или соответствующий коллегиальный орган организации, образованные в соответствии с законодательством о бухгалтерском учете (далее - комиссия или коллегиальный орган).</w:t>
      </w:r>
    </w:p>
    <w:p w:rsidR="009E654C" w:rsidRDefault="005A7438">
      <w:pPr>
        <w:pStyle w:val="ConsPlusNormal0"/>
        <w:spacing w:before="240"/>
        <w:ind w:firstLine="540"/>
        <w:jc w:val="both"/>
      </w:pPr>
      <w:bookmarkStart w:id="5" w:name="P75"/>
      <w:bookmarkEnd w:id="5"/>
      <w:r>
        <w:t>7. Подарок, ст</w:t>
      </w:r>
      <w:r>
        <w:t>оимость которого подтверждается документами и превышает 3 тысячи рублей либо стоимость которого получившим его гражданскому служащему, работнику неизвестна, сдается ответственному лицу уполномоченного структурного подразделения, которое принимает его на хр</w:t>
      </w:r>
      <w:r>
        <w:t>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 xml:space="preserve">8. Подарок, полученный лицом, замещающим государственную должность, независимо от его стоимости, подлежит передаче на хранение в </w:t>
      </w:r>
      <w:r>
        <w:t xml:space="preserve">порядке, предусмотренном </w:t>
      </w:r>
      <w:hyperlink w:anchor="P75" w:tooltip="7. Подарок, стоимость которого подтверждается документами и превышает 3 тысячи рублей либо стоимость которого получившим его гражданскому служащему, работнику неизвестна, сдается ответственному лицу уполномоченного структурного подразделения, которое принимает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</w:t>
      </w:r>
      <w:r>
        <w:t>, получившее подарок.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</w:t>
      </w:r>
      <w:r>
        <w:t>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</w:t>
      </w:r>
      <w:r>
        <w:t>одарок возвращается сдавшему его лицу по акту приема-передачи в случае, если его стоимость не превышает 3 тысячи рублей.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11. Уполномоченное структурное подразделение обеспечивает включение в установленном порядке принятого к бухгалтерскому учету подарка, с</w:t>
      </w:r>
      <w:r>
        <w:t>тоимость которого превышает 3 тысячи рублей, в реестр имущества Ханты-Мансийского автономного округа - Югры.</w:t>
      </w:r>
    </w:p>
    <w:p w:rsidR="009E654C" w:rsidRDefault="005A7438">
      <w:pPr>
        <w:pStyle w:val="ConsPlusNormal0"/>
        <w:spacing w:before="240"/>
        <w:ind w:firstLine="540"/>
        <w:jc w:val="both"/>
      </w:pPr>
      <w:bookmarkStart w:id="6" w:name="P80"/>
      <w:bookmarkEnd w:id="6"/>
      <w:r>
        <w:lastRenderedPageBreak/>
        <w:t xml:space="preserve">12. Лицо, замещающее государственную должность, гражданский служащий, работник, сдавшие подарок, могут его выкупить, направив на имя представителя </w:t>
      </w:r>
      <w:r>
        <w:t>нанимателя (работодателя) соответствующее заявление не позднее двух месяцев со дня сдачи подарка.</w:t>
      </w:r>
    </w:p>
    <w:p w:rsidR="009E654C" w:rsidRDefault="005A7438">
      <w:pPr>
        <w:pStyle w:val="ConsPlusNormal0"/>
        <w:spacing w:before="240"/>
        <w:ind w:firstLine="540"/>
        <w:jc w:val="both"/>
      </w:pPr>
      <w:bookmarkStart w:id="7" w:name="P81"/>
      <w:bookmarkEnd w:id="7"/>
      <w:r>
        <w:t xml:space="preserve">13. Уполномоченное структурное подразделение в течение 3 месяцев со дня поступления заявления, указанного в </w:t>
      </w:r>
      <w:hyperlink w:anchor="P80" w:tooltip="12. Лицо, замещающее государственную должность, гражданский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Положения</w:t>
      </w:r>
      <w: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</w:t>
      </w:r>
      <w:r>
        <w:t>ется от выкупа.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 xml:space="preserve">13.1.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гражданских служащих, работников заявление, указанное в </w:t>
      </w:r>
      <w:hyperlink w:anchor="P80" w:tooltip="12. Лицо, замещающее государственную должность, гражданский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Положения, либо в случае отказа указанных лиц от его выкупа, он подлежит 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 по </w:t>
      </w:r>
      <w:r>
        <w:t>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</w:t>
      </w:r>
      <w:r>
        <w:t xml:space="preserve"> Государственный фонд драгоценных металлов и драгоценных камней Российской Федерации.</w:t>
      </w:r>
    </w:p>
    <w:p w:rsidR="009E654C" w:rsidRDefault="005A7438">
      <w:pPr>
        <w:pStyle w:val="ConsPlusNormal0"/>
        <w:jc w:val="both"/>
      </w:pPr>
      <w:r>
        <w:t xml:space="preserve">(п. 13.1 введен </w:t>
      </w:r>
      <w:hyperlink r:id="rId19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<w:r>
          <w:rPr>
            <w:color w:val="0000FF"/>
          </w:rPr>
          <w:t>постановлением</w:t>
        </w:r>
      </w:hyperlink>
      <w:r>
        <w:t xml:space="preserve"> Губерна</w:t>
      </w:r>
      <w:r>
        <w:t>тора ХМАО - Югры от 25.12.2015 N 167)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 xml:space="preserve">14. Подарок, в отношении которого не поступило заявление, указанное в </w:t>
      </w:r>
      <w:hyperlink w:anchor="P80" w:tooltip="12. Лицо, замещающее государственную должность, гражданский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Положения, может использоваться органом государственной власти или организацией с учетом заключения комиссии или коллегиального органа о целесообразности использования подарка для обеспечения деятельности органа государственной власти или орган</w:t>
      </w:r>
      <w:r>
        <w:t>изации.</w:t>
      </w:r>
    </w:p>
    <w:p w:rsidR="009E654C" w:rsidRDefault="005A7438">
      <w:pPr>
        <w:pStyle w:val="ConsPlusNormal0"/>
        <w:spacing w:before="240"/>
        <w:ind w:firstLine="540"/>
        <w:jc w:val="both"/>
      </w:pPr>
      <w:bookmarkStart w:id="8" w:name="P85"/>
      <w:bookmarkEnd w:id="8"/>
      <w:r>
        <w:t>15. В случае нецелесообразности использования подарка руководителем органа государственной власти или организации принимается решение о реализации подарка и проведении оценки его стоимости для реализации (выкупа), осуществляемой уполномоченными орг</w:t>
      </w:r>
      <w:r>
        <w:t>аном государственной власти и организациями посредством проведения торгов в порядке, предусмотренном законодательством Российской Федерации.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81" w:tooltip="13. Уполномоченное структурное подразделение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">
        <w:r>
          <w:rPr>
            <w:color w:val="0000FF"/>
          </w:rPr>
          <w:t>пунктами 13</w:t>
        </w:r>
      </w:hyperlink>
      <w:r>
        <w:t xml:space="preserve"> и </w:t>
      </w:r>
      <w:hyperlink w:anchor="P85" w:tooltip="15. В случае нецелесообразности использования подарка руководителем органа государственной власти или организации принимается решение о реализации подарка и проведении оценки его стоимости для реализации (выкупа), осуществляемой уполномоченными органом государ">
        <w:r>
          <w:rPr>
            <w:color w:val="0000FF"/>
          </w:rPr>
          <w:t>15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17. В случае ес</w:t>
      </w:r>
      <w:r>
        <w:t>ли подарок не выкуплен или не реализован, руководителем органа государственной власти или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</w:t>
      </w:r>
      <w:r>
        <w:t>ответствии с законодательством Российской Федерации.</w:t>
      </w:r>
    </w:p>
    <w:p w:rsidR="009E654C" w:rsidRDefault="005A7438">
      <w:pPr>
        <w:pStyle w:val="ConsPlusNormal0"/>
        <w:spacing w:before="240"/>
        <w:ind w:firstLine="540"/>
        <w:jc w:val="both"/>
      </w:pPr>
      <w:r>
        <w:t>18. Средства, вырученные от реализации (выкупа) подарка, зачисляются в доход окружного бюджета в порядке, установленном бюджетным законодательством Российской Федерации.</w:t>
      </w:r>
    </w:p>
    <w:p w:rsidR="009E654C" w:rsidRDefault="009E654C">
      <w:pPr>
        <w:pStyle w:val="ConsPlusNormal0"/>
      </w:pPr>
    </w:p>
    <w:p w:rsidR="009E654C" w:rsidRDefault="009E654C">
      <w:pPr>
        <w:pStyle w:val="ConsPlusNormal0"/>
      </w:pPr>
    </w:p>
    <w:p w:rsidR="009E654C" w:rsidRDefault="009E654C">
      <w:pPr>
        <w:pStyle w:val="ConsPlusNormal0"/>
      </w:pPr>
    </w:p>
    <w:p w:rsidR="009E654C" w:rsidRDefault="009E654C">
      <w:pPr>
        <w:pStyle w:val="ConsPlusNormal0"/>
      </w:pPr>
    </w:p>
    <w:p w:rsidR="009E654C" w:rsidRDefault="009E654C">
      <w:pPr>
        <w:pStyle w:val="ConsPlusNormal0"/>
      </w:pPr>
    </w:p>
    <w:p w:rsidR="009E654C" w:rsidRDefault="005A7438">
      <w:pPr>
        <w:pStyle w:val="ConsPlusNormal0"/>
        <w:jc w:val="right"/>
        <w:outlineLvl w:val="1"/>
      </w:pPr>
      <w:r>
        <w:t>Приложение</w:t>
      </w:r>
    </w:p>
    <w:p w:rsidR="009E654C" w:rsidRDefault="005A7438">
      <w:pPr>
        <w:pStyle w:val="ConsPlusNormal0"/>
        <w:jc w:val="right"/>
      </w:pPr>
      <w:r>
        <w:t>к Положению о соо</w:t>
      </w:r>
      <w:r>
        <w:t>бщении лицами,</w:t>
      </w:r>
    </w:p>
    <w:p w:rsidR="009E654C" w:rsidRDefault="005A7438">
      <w:pPr>
        <w:pStyle w:val="ConsPlusNormal0"/>
        <w:jc w:val="right"/>
      </w:pPr>
      <w:r>
        <w:t>замещающими государственные</w:t>
      </w:r>
    </w:p>
    <w:p w:rsidR="009E654C" w:rsidRDefault="005A7438">
      <w:pPr>
        <w:pStyle w:val="ConsPlusNormal0"/>
        <w:jc w:val="right"/>
      </w:pPr>
      <w:r>
        <w:t>должности Ханты-Мансийского</w:t>
      </w:r>
    </w:p>
    <w:p w:rsidR="009E654C" w:rsidRDefault="005A7438">
      <w:pPr>
        <w:pStyle w:val="ConsPlusNormal0"/>
        <w:jc w:val="right"/>
      </w:pPr>
      <w:r>
        <w:t>автономного округа - Югры, должности</w:t>
      </w:r>
    </w:p>
    <w:p w:rsidR="009E654C" w:rsidRDefault="005A7438">
      <w:pPr>
        <w:pStyle w:val="ConsPlusNormal0"/>
        <w:jc w:val="right"/>
      </w:pPr>
      <w:r>
        <w:t>государственной гражданской службы</w:t>
      </w:r>
    </w:p>
    <w:p w:rsidR="009E654C" w:rsidRDefault="005A7438">
      <w:pPr>
        <w:pStyle w:val="ConsPlusNormal0"/>
        <w:jc w:val="right"/>
      </w:pPr>
      <w:r>
        <w:t>Ханты-Мансийского автономного округа - Югры,</w:t>
      </w:r>
    </w:p>
    <w:p w:rsidR="009E654C" w:rsidRDefault="005A7438">
      <w:pPr>
        <w:pStyle w:val="ConsPlusNormal0"/>
        <w:jc w:val="right"/>
      </w:pPr>
      <w:r>
        <w:t>а также работниками организаций,</w:t>
      </w:r>
    </w:p>
    <w:p w:rsidR="009E654C" w:rsidRDefault="005A7438">
      <w:pPr>
        <w:pStyle w:val="ConsPlusNormal0"/>
        <w:jc w:val="right"/>
      </w:pPr>
      <w:r>
        <w:t>в отношении которых Ханты-Мансийски</w:t>
      </w:r>
      <w:r>
        <w:t>й</w:t>
      </w:r>
    </w:p>
    <w:p w:rsidR="009E654C" w:rsidRDefault="005A7438">
      <w:pPr>
        <w:pStyle w:val="ConsPlusNormal0"/>
        <w:jc w:val="right"/>
      </w:pPr>
      <w:r>
        <w:t>автономный округ - Югра выступает</w:t>
      </w:r>
    </w:p>
    <w:p w:rsidR="009E654C" w:rsidRDefault="005A7438">
      <w:pPr>
        <w:pStyle w:val="ConsPlusNormal0"/>
        <w:jc w:val="right"/>
      </w:pPr>
      <w:r>
        <w:t>единственным учредителем, о получении</w:t>
      </w:r>
    </w:p>
    <w:p w:rsidR="009E654C" w:rsidRDefault="005A7438">
      <w:pPr>
        <w:pStyle w:val="ConsPlusNormal0"/>
        <w:jc w:val="right"/>
      </w:pPr>
      <w:r>
        <w:t>подарка в связи с протокольными мероприятиями,</w:t>
      </w:r>
    </w:p>
    <w:p w:rsidR="009E654C" w:rsidRDefault="005A7438">
      <w:pPr>
        <w:pStyle w:val="ConsPlusNormal0"/>
        <w:jc w:val="right"/>
      </w:pPr>
      <w:r>
        <w:t>служебными командировками и другими официальными</w:t>
      </w:r>
    </w:p>
    <w:p w:rsidR="009E654C" w:rsidRDefault="005A7438">
      <w:pPr>
        <w:pStyle w:val="ConsPlusNormal0"/>
        <w:jc w:val="right"/>
      </w:pPr>
      <w:r>
        <w:t>мероприятиями, участие в которых связано с исполнением</w:t>
      </w:r>
    </w:p>
    <w:p w:rsidR="009E654C" w:rsidRDefault="005A7438">
      <w:pPr>
        <w:pStyle w:val="ConsPlusNormal0"/>
        <w:jc w:val="right"/>
      </w:pPr>
      <w:r>
        <w:t>ими служебных (должностных) обя</w:t>
      </w:r>
      <w:r>
        <w:t>занностей,</w:t>
      </w:r>
    </w:p>
    <w:p w:rsidR="009E654C" w:rsidRDefault="005A7438">
      <w:pPr>
        <w:pStyle w:val="ConsPlusNormal0"/>
        <w:jc w:val="right"/>
      </w:pPr>
      <w:r>
        <w:t>сдаче и оценке подарка, реализации</w:t>
      </w:r>
    </w:p>
    <w:p w:rsidR="009E654C" w:rsidRDefault="005A7438">
      <w:pPr>
        <w:pStyle w:val="ConsPlusNormal0"/>
        <w:jc w:val="right"/>
      </w:pPr>
      <w:r>
        <w:t>(выкупе) и зачислении средств,</w:t>
      </w:r>
    </w:p>
    <w:p w:rsidR="009E654C" w:rsidRDefault="005A7438">
      <w:pPr>
        <w:pStyle w:val="ConsPlusNormal0"/>
        <w:jc w:val="right"/>
      </w:pPr>
      <w:r>
        <w:t>вырученных от его реализации</w:t>
      </w:r>
    </w:p>
    <w:p w:rsidR="009E654C" w:rsidRDefault="009E65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E65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54C" w:rsidRDefault="005A74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654C" w:rsidRDefault="005A74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остановление Губернатора ХМАО - Югры от 25.12.2015 N 167 &quot;О внесении изменений в постановление Губернатора Ханты-Мансийского автономного округа - Югры от 18 февраля 2014 года N 15 &quot;Об утверждении Положения о сообщении лицами, замещающими государственные долж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25.12.2015 N 167)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4C" w:rsidRDefault="009E654C">
            <w:pPr>
              <w:pStyle w:val="ConsPlusNormal0"/>
            </w:pPr>
          </w:p>
        </w:tc>
      </w:tr>
    </w:tbl>
    <w:p w:rsidR="009E654C" w:rsidRDefault="009E654C">
      <w:pPr>
        <w:pStyle w:val="ConsPlusNormal0"/>
      </w:pPr>
    </w:p>
    <w:p w:rsidR="009E654C" w:rsidRDefault="005A7438">
      <w:pPr>
        <w:pStyle w:val="ConsPlusTitle0"/>
        <w:jc w:val="center"/>
      </w:pPr>
      <w:bookmarkStart w:id="9" w:name="P115"/>
      <w:bookmarkEnd w:id="9"/>
      <w:r>
        <w:t>УВЕДОМЛЕНИЕ</w:t>
      </w:r>
    </w:p>
    <w:p w:rsidR="009E654C" w:rsidRDefault="005A7438">
      <w:pPr>
        <w:pStyle w:val="ConsPlusTitle0"/>
        <w:jc w:val="center"/>
      </w:pPr>
      <w:r>
        <w:t>О ПОЛУЧЕНИИ ПОДАРКА</w:t>
      </w:r>
    </w:p>
    <w:p w:rsidR="009E654C" w:rsidRDefault="009E654C">
      <w:pPr>
        <w:pStyle w:val="ConsPlusNormal0"/>
      </w:pPr>
    </w:p>
    <w:p w:rsidR="009E654C" w:rsidRDefault="005A7438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9E654C" w:rsidRDefault="005A7438">
      <w:pPr>
        <w:pStyle w:val="ConsPlusNonformat0"/>
        <w:jc w:val="both"/>
      </w:pPr>
      <w:r>
        <w:t xml:space="preserve">                                   (наименование уполномоченного</w:t>
      </w:r>
    </w:p>
    <w:p w:rsidR="009E654C" w:rsidRDefault="005A7438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9E654C" w:rsidRDefault="005A7438">
      <w:pPr>
        <w:pStyle w:val="ConsPlusNonformat0"/>
        <w:jc w:val="both"/>
      </w:pPr>
      <w:r>
        <w:t xml:space="preserve">                                     ст</w:t>
      </w:r>
      <w:r>
        <w:t>руктурного подразделения</w:t>
      </w:r>
    </w:p>
    <w:p w:rsidR="009E654C" w:rsidRDefault="005A7438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9E654C" w:rsidRDefault="005A7438">
      <w:pPr>
        <w:pStyle w:val="ConsPlusNonformat0"/>
        <w:jc w:val="both"/>
      </w:pPr>
      <w:r>
        <w:t xml:space="preserve">                                    органа государственной власти</w:t>
      </w:r>
    </w:p>
    <w:p w:rsidR="009E654C" w:rsidRDefault="005A7438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9E654C" w:rsidRDefault="005A7438">
      <w:pPr>
        <w:pStyle w:val="ConsPlusNonformat0"/>
        <w:jc w:val="both"/>
      </w:pPr>
      <w:r>
        <w:t xml:space="preserve">             </w:t>
      </w:r>
      <w:r>
        <w:t xml:space="preserve">                             или организации)</w:t>
      </w:r>
    </w:p>
    <w:p w:rsidR="009E654C" w:rsidRDefault="005A7438">
      <w:pPr>
        <w:pStyle w:val="ConsPlusNonformat0"/>
        <w:jc w:val="both"/>
      </w:pPr>
      <w:r>
        <w:t xml:space="preserve">                         от _______________________________________________</w:t>
      </w:r>
    </w:p>
    <w:p w:rsidR="009E654C" w:rsidRDefault="009E654C">
      <w:pPr>
        <w:pStyle w:val="ConsPlusNonformat0"/>
        <w:jc w:val="both"/>
      </w:pPr>
    </w:p>
    <w:p w:rsidR="009E654C" w:rsidRDefault="005A7438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9E654C" w:rsidRDefault="005A7438">
      <w:pPr>
        <w:pStyle w:val="ConsPlusNonformat0"/>
        <w:jc w:val="both"/>
      </w:pPr>
      <w:r>
        <w:t xml:space="preserve">                                   (</w:t>
      </w:r>
      <w:proofErr w:type="spellStart"/>
      <w:r>
        <w:t>ф.и.о.</w:t>
      </w:r>
      <w:proofErr w:type="spellEnd"/>
      <w:r>
        <w:t>, занимаемая должность)</w:t>
      </w:r>
    </w:p>
    <w:p w:rsidR="009E654C" w:rsidRDefault="009E654C">
      <w:pPr>
        <w:pStyle w:val="ConsPlusNonformat0"/>
        <w:jc w:val="both"/>
      </w:pPr>
    </w:p>
    <w:p w:rsidR="009E654C" w:rsidRDefault="005A7438">
      <w:pPr>
        <w:pStyle w:val="ConsPlusNonformat0"/>
        <w:jc w:val="both"/>
      </w:pPr>
      <w:r>
        <w:t xml:space="preserve">       Уведомление о получении подарка от "__" ____________ 20__ г.</w:t>
      </w:r>
    </w:p>
    <w:p w:rsidR="009E654C" w:rsidRDefault="009E654C">
      <w:pPr>
        <w:pStyle w:val="ConsPlusNonformat0"/>
        <w:jc w:val="both"/>
      </w:pPr>
    </w:p>
    <w:p w:rsidR="009E654C" w:rsidRDefault="005A7438">
      <w:pPr>
        <w:pStyle w:val="ConsPlusNonformat0"/>
        <w:jc w:val="both"/>
      </w:pPr>
      <w:r>
        <w:t xml:space="preserve">    Извещаю о получении ___________________________________________________</w:t>
      </w:r>
    </w:p>
    <w:p w:rsidR="009E654C" w:rsidRDefault="005A7438">
      <w:pPr>
        <w:pStyle w:val="ConsPlusNonformat0"/>
        <w:jc w:val="both"/>
      </w:pPr>
      <w:r>
        <w:t xml:space="preserve">                                         (да</w:t>
      </w:r>
      <w:r>
        <w:t>та получения)</w:t>
      </w:r>
    </w:p>
    <w:p w:rsidR="009E654C" w:rsidRDefault="005A7438">
      <w:pPr>
        <w:pStyle w:val="ConsPlusNonformat0"/>
        <w:jc w:val="both"/>
      </w:pPr>
      <w:r>
        <w:t>подарка (</w:t>
      </w:r>
      <w:proofErr w:type="spellStart"/>
      <w:r>
        <w:t>ов</w:t>
      </w:r>
      <w:proofErr w:type="spellEnd"/>
      <w:r>
        <w:t>) на ___________________________________________________________</w:t>
      </w:r>
    </w:p>
    <w:p w:rsidR="009E654C" w:rsidRDefault="005A7438">
      <w:pPr>
        <w:pStyle w:val="ConsPlusNonformat0"/>
        <w:jc w:val="both"/>
      </w:pPr>
      <w:r>
        <w:t xml:space="preserve">                         (наименование протокольного мероприятия,</w:t>
      </w:r>
    </w:p>
    <w:p w:rsidR="009E654C" w:rsidRDefault="005A7438">
      <w:pPr>
        <w:pStyle w:val="ConsPlusNonformat0"/>
        <w:jc w:val="both"/>
      </w:pPr>
      <w:r>
        <w:t xml:space="preserve">                 служебной командировки, другого официального мероприятия,</w:t>
      </w:r>
    </w:p>
    <w:p w:rsidR="009E654C" w:rsidRDefault="005A7438">
      <w:pPr>
        <w:pStyle w:val="ConsPlusNonformat0"/>
        <w:jc w:val="both"/>
      </w:pPr>
      <w:r>
        <w:t xml:space="preserve">                         </w:t>
      </w:r>
      <w:r>
        <w:t xml:space="preserve">        место и дата проведения)</w:t>
      </w:r>
    </w:p>
    <w:p w:rsidR="009E654C" w:rsidRDefault="009E654C">
      <w:pPr>
        <w:pStyle w:val="ConsPlusNormal0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778"/>
        <w:gridCol w:w="1805"/>
        <w:gridCol w:w="1807"/>
      </w:tblGrid>
      <w:tr w:rsidR="009E654C"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654C" w:rsidRDefault="005A7438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54C" w:rsidRDefault="005A7438">
            <w:pPr>
              <w:pStyle w:val="ConsPlusNormal0"/>
              <w:jc w:val="center"/>
            </w:pPr>
            <w:r>
              <w:t xml:space="preserve">Характеристика подарка, </w:t>
            </w:r>
            <w:r>
              <w:lastRenderedPageBreak/>
              <w:t>его описание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54C" w:rsidRDefault="005A7438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предметов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54C" w:rsidRDefault="005A7438">
            <w:pPr>
              <w:pStyle w:val="ConsPlusNormal0"/>
              <w:jc w:val="center"/>
            </w:pPr>
            <w:r>
              <w:lastRenderedPageBreak/>
              <w:t xml:space="preserve">Стоимость в </w:t>
            </w:r>
            <w:r>
              <w:lastRenderedPageBreak/>
              <w:t xml:space="preserve">рублях </w:t>
            </w:r>
            <w:hyperlink w:anchor="P176" w:tooltip="* Заполняется при наличии документов, подтверждающих стоимость подарка.">
              <w:r>
                <w:rPr>
                  <w:color w:val="0000FF"/>
                </w:rPr>
                <w:t>*</w:t>
              </w:r>
            </w:hyperlink>
          </w:p>
        </w:tc>
      </w:tr>
      <w:tr w:rsidR="009E65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54C" w:rsidRDefault="005A7438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</w:tr>
      <w:tr w:rsidR="009E65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54C" w:rsidRDefault="005A7438">
            <w:pPr>
              <w:pStyle w:val="ConsPlusNormal0"/>
            </w:pPr>
            <w:r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</w:tr>
      <w:tr w:rsidR="009E65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E654C" w:rsidRDefault="005A7438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E654C" w:rsidRDefault="009E654C">
            <w:pPr>
              <w:pStyle w:val="ConsPlusNormal0"/>
              <w:jc w:val="both"/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9E654C" w:rsidRDefault="009E654C">
            <w:pPr>
              <w:pStyle w:val="ConsPlusNormal0"/>
              <w:jc w:val="both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9E654C" w:rsidRDefault="009E654C">
            <w:pPr>
              <w:pStyle w:val="ConsPlusNormal0"/>
              <w:jc w:val="both"/>
            </w:pPr>
          </w:p>
        </w:tc>
      </w:tr>
      <w:tr w:rsidR="009E65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54C" w:rsidRDefault="005A7438">
            <w:pPr>
              <w:pStyle w:val="ConsPlusNormal0"/>
            </w:pPr>
            <w:r>
              <w:t>Итого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54C" w:rsidRDefault="009E654C">
            <w:pPr>
              <w:pStyle w:val="ConsPlusNormal0"/>
            </w:pPr>
          </w:p>
        </w:tc>
      </w:tr>
    </w:tbl>
    <w:p w:rsidR="009E654C" w:rsidRDefault="009E654C">
      <w:pPr>
        <w:pStyle w:val="ConsPlusNormal0"/>
      </w:pPr>
    </w:p>
    <w:p w:rsidR="009E654C" w:rsidRDefault="005A7438">
      <w:pPr>
        <w:pStyle w:val="ConsPlusNonformat0"/>
        <w:jc w:val="both"/>
      </w:pPr>
      <w:r>
        <w:t>Приложение: _______________________________________________ на _____ листах</w:t>
      </w:r>
    </w:p>
    <w:p w:rsidR="009E654C" w:rsidRDefault="005A7438">
      <w:pPr>
        <w:pStyle w:val="ConsPlusNonformat0"/>
        <w:jc w:val="both"/>
      </w:pPr>
      <w:r>
        <w:t xml:space="preserve">                       (наименование документа)</w:t>
      </w:r>
    </w:p>
    <w:p w:rsidR="009E654C" w:rsidRDefault="009E654C">
      <w:pPr>
        <w:pStyle w:val="ConsPlusNonformat0"/>
        <w:jc w:val="both"/>
      </w:pPr>
    </w:p>
    <w:p w:rsidR="009E654C" w:rsidRDefault="005A7438">
      <w:pPr>
        <w:pStyle w:val="ConsPlusNonformat0"/>
        <w:jc w:val="both"/>
      </w:pPr>
      <w:r>
        <w:t>Лицо, представившее</w:t>
      </w:r>
    </w:p>
    <w:p w:rsidR="009E654C" w:rsidRDefault="005A7438">
      <w:pPr>
        <w:pStyle w:val="ConsPlusNonformat0"/>
        <w:jc w:val="both"/>
      </w:pPr>
      <w:r>
        <w:t>уведомление     ___________ ________________________ "__" _________ 20__ г.</w:t>
      </w:r>
    </w:p>
    <w:p w:rsidR="009E654C" w:rsidRDefault="005A7438">
      <w:pPr>
        <w:pStyle w:val="ConsPlusNonformat0"/>
        <w:jc w:val="both"/>
      </w:pPr>
      <w:r>
        <w:t xml:space="preserve">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9E654C" w:rsidRDefault="009E654C">
      <w:pPr>
        <w:pStyle w:val="ConsPlusNonformat0"/>
        <w:jc w:val="both"/>
      </w:pPr>
    </w:p>
    <w:p w:rsidR="009E654C" w:rsidRDefault="005A7438">
      <w:pPr>
        <w:pStyle w:val="ConsPlusNonformat0"/>
        <w:jc w:val="both"/>
      </w:pPr>
      <w:r>
        <w:t>Лицо, принявшее</w:t>
      </w:r>
    </w:p>
    <w:p w:rsidR="009E654C" w:rsidRDefault="005A7438">
      <w:pPr>
        <w:pStyle w:val="ConsPlusNonformat0"/>
        <w:jc w:val="both"/>
      </w:pPr>
      <w:r>
        <w:t>уведомление     ___________ ________________________ "__" _________ 20__ г.</w:t>
      </w:r>
    </w:p>
    <w:p w:rsidR="009E654C" w:rsidRDefault="005A7438">
      <w:pPr>
        <w:pStyle w:val="ConsPlusNonformat0"/>
        <w:jc w:val="both"/>
      </w:pPr>
      <w:r>
        <w:t xml:space="preserve">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9E654C" w:rsidRDefault="009E654C">
      <w:pPr>
        <w:pStyle w:val="ConsPlusNonformat0"/>
        <w:jc w:val="both"/>
      </w:pPr>
    </w:p>
    <w:p w:rsidR="009E654C" w:rsidRDefault="005A7438">
      <w:pPr>
        <w:pStyle w:val="ConsPlusNonformat0"/>
        <w:jc w:val="both"/>
      </w:pPr>
      <w:r>
        <w:t>Регистрационный номер в журнале регистрации уведомлений ___________________</w:t>
      </w:r>
    </w:p>
    <w:p w:rsidR="009E654C" w:rsidRDefault="009E654C">
      <w:pPr>
        <w:pStyle w:val="ConsPlusNonformat0"/>
        <w:jc w:val="both"/>
      </w:pPr>
    </w:p>
    <w:p w:rsidR="009E654C" w:rsidRDefault="005A7438">
      <w:pPr>
        <w:pStyle w:val="ConsPlusNonformat0"/>
        <w:jc w:val="both"/>
      </w:pPr>
      <w:r>
        <w:t>"___" ____________ 20__ г.</w:t>
      </w:r>
    </w:p>
    <w:p w:rsidR="009E654C" w:rsidRDefault="005A7438">
      <w:pPr>
        <w:pStyle w:val="ConsPlusNonformat0"/>
        <w:jc w:val="both"/>
      </w:pPr>
      <w:r>
        <w:t>__________________________</w:t>
      </w:r>
    </w:p>
    <w:p w:rsidR="009E654C" w:rsidRDefault="005A7438">
      <w:pPr>
        <w:pStyle w:val="ConsPlusNonformat0"/>
        <w:jc w:val="both"/>
      </w:pPr>
      <w:bookmarkStart w:id="10" w:name="P176"/>
      <w:bookmarkEnd w:id="10"/>
      <w:r>
        <w:t>* Заполняется при наличии документов, подтверждающих стоимость подарка.</w:t>
      </w:r>
    </w:p>
    <w:p w:rsidR="009E654C" w:rsidRDefault="009E654C">
      <w:pPr>
        <w:pStyle w:val="ConsPlusNormal0"/>
        <w:jc w:val="both"/>
      </w:pPr>
    </w:p>
    <w:p w:rsidR="009E654C" w:rsidRDefault="009E654C">
      <w:pPr>
        <w:pStyle w:val="ConsPlusNormal0"/>
        <w:jc w:val="both"/>
      </w:pPr>
    </w:p>
    <w:p w:rsidR="009E654C" w:rsidRDefault="009E654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654C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438" w:rsidRDefault="005A7438">
      <w:r>
        <w:separator/>
      </w:r>
    </w:p>
  </w:endnote>
  <w:endnote w:type="continuationSeparator" w:id="0">
    <w:p w:rsidR="005A7438" w:rsidRDefault="005A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54C" w:rsidRDefault="009E654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5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54C" w:rsidRDefault="005A74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54C" w:rsidRDefault="005A743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54C" w:rsidRDefault="005A74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54C" w:rsidRDefault="005A743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54C" w:rsidRDefault="009E654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5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54C" w:rsidRDefault="005A74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54C" w:rsidRDefault="005A743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54C" w:rsidRDefault="005A74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54C" w:rsidRDefault="005A743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438" w:rsidRDefault="005A7438">
      <w:r>
        <w:separator/>
      </w:r>
    </w:p>
  </w:footnote>
  <w:footnote w:type="continuationSeparator" w:id="0">
    <w:p w:rsidR="005A7438" w:rsidRDefault="005A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E65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54C" w:rsidRDefault="005A743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ХМАО - Югры от 18.02.2014 N 15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сообщении лица...</w:t>
          </w:r>
        </w:p>
      </w:tc>
      <w:tc>
        <w:tcPr>
          <w:tcW w:w="2300" w:type="pct"/>
          <w:vAlign w:val="center"/>
        </w:tcPr>
        <w:p w:rsidR="009E654C" w:rsidRDefault="005A743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9E654C" w:rsidRDefault="009E654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54C" w:rsidRDefault="009E654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E65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54C" w:rsidRDefault="005A743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ХМАО - Югры от 18.02.2014 N 15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сообщении лица...</w:t>
          </w:r>
        </w:p>
      </w:tc>
      <w:tc>
        <w:tcPr>
          <w:tcW w:w="2300" w:type="pct"/>
          <w:vAlign w:val="center"/>
        </w:tcPr>
        <w:p w:rsidR="009E654C" w:rsidRDefault="005A743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9E654C" w:rsidRDefault="009E654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54C" w:rsidRDefault="009E654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4C"/>
    <w:rsid w:val="005A7438"/>
    <w:rsid w:val="007A3777"/>
    <w:rsid w:val="009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926&amp;n=124320&amp;date=12.01.2026&amp;dst=100012&amp;field=134" TargetMode="External"/><Relationship Id="rId18" Type="http://schemas.openxmlformats.org/officeDocument/2006/relationships/hyperlink" Target="https://login.consultant.ru/link/?req=doc&amp;base=RLAW926&amp;n=124320&amp;date=12.01.2026&amp;dst=100025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926&amp;n=124320&amp;date=12.01.2026&amp;dst=100009&amp;field=134" TargetMode="External"/><Relationship Id="rId17" Type="http://schemas.openxmlformats.org/officeDocument/2006/relationships/hyperlink" Target="https://login.consultant.ru/link/?req=doc&amp;base=RLAW926&amp;n=124320&amp;date=12.01.2026&amp;dst=100024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24320&amp;date=12.01.2026&amp;dst=100021&amp;field=134" TargetMode="External"/><Relationship Id="rId20" Type="http://schemas.openxmlformats.org/officeDocument/2006/relationships/hyperlink" Target="https://login.consultant.ru/link/?req=doc&amp;base=RLAW926&amp;n=124320&amp;date=12.01.2026&amp;dst=10002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124320&amp;date=12.01.2026&amp;dst=100007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124320&amp;date=12.01.2026&amp;dst=100020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43333&amp;date=12.01.2026&amp;dst=100051&amp;field=134" TargetMode="External"/><Relationship Id="rId19" Type="http://schemas.openxmlformats.org/officeDocument/2006/relationships/hyperlink" Target="https://login.consultant.ru/link/?req=doc&amp;base=RLAW926&amp;n=124320&amp;date=12.01.2026&amp;dst=10002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124320&amp;date=12.01.2026&amp;dst=100005&amp;field=134" TargetMode="External"/><Relationship Id="rId14" Type="http://schemas.openxmlformats.org/officeDocument/2006/relationships/hyperlink" Target="https://login.consultant.ru/link/?req=doc&amp;base=RLAW926&amp;n=124320&amp;date=12.01.2026&amp;dst=100016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3693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ХМАО - Югры от 18.02.2014 N 15
(ред. от 25.12.2015)
"Об утверждении Положения о 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</vt:lpstr>
    </vt:vector>
  </TitlesOfParts>
  <Company>КонсультантПлюс Версия 4025.00.30</Company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ХМАО - Югры от 18.02.2014 N 15
(ред. от 25.12.2015)
"Об утверждении Положения о 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отношении которых Ханты-Мансийский автономный округ - Югра выступает единственным учредителем, о получении подарка в связи с протокольными мероприятиями, служебными командировками</dc:title>
  <dc:creator>Надежда Анатольевна Паршонок</dc:creator>
  <cp:lastModifiedBy>Н.А. Паршонок</cp:lastModifiedBy>
  <cp:revision>2</cp:revision>
  <dcterms:created xsi:type="dcterms:W3CDTF">2026-01-12T05:43:00Z</dcterms:created>
  <dcterms:modified xsi:type="dcterms:W3CDTF">2026-01-12T05:43:00Z</dcterms:modified>
</cp:coreProperties>
</file>